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F63" w:rsidRPr="005D72CF" w:rsidRDefault="00E43F63">
      <w:pPr>
        <w:rPr>
          <w:rFonts w:ascii="Times New Roman" w:hAnsi="Times New Roman" w:cs="Times New Roman"/>
          <w:color w:val="auto"/>
        </w:rPr>
      </w:pPr>
      <w:bookmarkStart w:id="0" w:name="_GoBack"/>
      <w:bookmarkEnd w:id="0"/>
    </w:p>
    <w:p w:rsidR="00E43F63" w:rsidRPr="005D72CF" w:rsidRDefault="00E43F63" w:rsidP="00E43F63">
      <w:pPr>
        <w:spacing w:before="120" w:after="120" w:line="264" w:lineRule="auto"/>
        <w:jc w:val="center"/>
        <w:rPr>
          <w:rFonts w:ascii="Times New Roman" w:hAnsi="Times New Roman" w:cs="Times New Roman"/>
          <w:color w:val="auto"/>
          <w:sz w:val="22"/>
          <w:szCs w:val="22"/>
        </w:rPr>
      </w:pPr>
      <w:r w:rsidRPr="005D72CF">
        <w:rPr>
          <w:rFonts w:ascii="Times New Roman" w:hAnsi="Times New Roman" w:cs="Times New Roman"/>
          <w:noProof/>
          <w:color w:val="auto"/>
          <w:sz w:val="22"/>
          <w:szCs w:val="22"/>
        </w:rPr>
        <w:drawing>
          <wp:inline distT="0" distB="0" distL="0" distR="0" wp14:anchorId="7F2E5C89" wp14:editId="30A102CF">
            <wp:extent cx="461010" cy="658495"/>
            <wp:effectExtent l="0" t="0" r="0" b="825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 cy="658495"/>
                    </a:xfrm>
                    <a:prstGeom prst="rect">
                      <a:avLst/>
                    </a:prstGeom>
                    <a:noFill/>
                    <a:ln>
                      <a:noFill/>
                    </a:ln>
                  </pic:spPr>
                </pic:pic>
              </a:graphicData>
            </a:graphic>
          </wp:inline>
        </w:drawing>
      </w:r>
    </w:p>
    <w:p w:rsidR="00E43F63" w:rsidRPr="005D72CF" w:rsidRDefault="00E43F63" w:rsidP="00E43F63">
      <w:pPr>
        <w:spacing w:before="120" w:after="120" w:line="264" w:lineRule="auto"/>
        <w:outlineLvl w:val="5"/>
        <w:rPr>
          <w:rFonts w:ascii="Times New Roman" w:hAnsi="Times New Roman" w:cs="Times New Roman"/>
          <w:b/>
          <w:bCs/>
          <w:color w:val="auto"/>
          <w:sz w:val="22"/>
          <w:szCs w:val="22"/>
        </w:rPr>
      </w:pPr>
    </w:p>
    <w:p w:rsidR="00E43F63" w:rsidRPr="005D72CF" w:rsidRDefault="00E43F63" w:rsidP="00E43F63">
      <w:pPr>
        <w:spacing w:before="120" w:after="120" w:line="264" w:lineRule="auto"/>
        <w:jc w:val="center"/>
        <w:outlineLvl w:val="4"/>
        <w:rPr>
          <w:rFonts w:ascii="Times New Roman" w:hAnsi="Times New Roman" w:cs="Times New Roman"/>
          <w:b/>
          <w:bCs/>
          <w:iCs/>
          <w:color w:val="auto"/>
          <w:spacing w:val="42"/>
          <w:sz w:val="22"/>
          <w:szCs w:val="22"/>
        </w:rPr>
      </w:pPr>
      <w:r w:rsidRPr="005D72CF">
        <w:rPr>
          <w:rFonts w:ascii="Times New Roman" w:hAnsi="Times New Roman" w:cs="Times New Roman"/>
          <w:b/>
          <w:bCs/>
          <w:iCs/>
          <w:color w:val="auto"/>
          <w:spacing w:val="42"/>
          <w:sz w:val="22"/>
          <w:szCs w:val="22"/>
        </w:rPr>
        <w:t>REPUBLIKA HRVATSKA</w:t>
      </w:r>
    </w:p>
    <w:p w:rsidR="00E43F63" w:rsidRPr="005D72CF" w:rsidRDefault="00E43F63" w:rsidP="00E43F63">
      <w:pPr>
        <w:pBdr>
          <w:bottom w:val="single" w:sz="12" w:space="1" w:color="auto"/>
        </w:pBdr>
        <w:spacing w:before="120" w:after="120" w:line="264" w:lineRule="auto"/>
        <w:jc w:val="center"/>
        <w:rPr>
          <w:rFonts w:ascii="Times New Roman" w:hAnsi="Times New Roman" w:cs="Times New Roman"/>
          <w:b/>
          <w:color w:val="auto"/>
          <w:spacing w:val="34"/>
          <w:sz w:val="22"/>
          <w:szCs w:val="22"/>
        </w:rPr>
      </w:pPr>
      <w:r w:rsidRPr="005D72CF">
        <w:rPr>
          <w:rFonts w:ascii="Times New Roman" w:hAnsi="Times New Roman" w:cs="Times New Roman"/>
          <w:b/>
          <w:color w:val="auto"/>
          <w:sz w:val="22"/>
          <w:szCs w:val="22"/>
        </w:rPr>
        <w:t>MINISTARSTVO POLJOPRIVREDE</w:t>
      </w: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spacing w:before="120" w:after="120" w:line="264" w:lineRule="auto"/>
        <w:rPr>
          <w:rFonts w:ascii="Times New Roman" w:hAnsi="Times New Roman" w:cs="Times New Roman"/>
          <w:color w:val="auto"/>
          <w:sz w:val="22"/>
          <w:szCs w:val="22"/>
        </w:rPr>
      </w:pPr>
    </w:p>
    <w:p w:rsidR="00E43F63" w:rsidRPr="005D72CF" w:rsidRDefault="00E43F63" w:rsidP="00E43F63">
      <w:pPr>
        <w:spacing w:before="120" w:after="120" w:line="264" w:lineRule="auto"/>
        <w:jc w:val="center"/>
        <w:rPr>
          <w:rFonts w:ascii="Times New Roman" w:hAnsi="Times New Roman" w:cs="Times New Roman"/>
          <w:color w:val="auto"/>
          <w:sz w:val="22"/>
          <w:szCs w:val="22"/>
        </w:rPr>
      </w:pPr>
    </w:p>
    <w:p w:rsidR="00E43F63" w:rsidRPr="005D72CF" w:rsidRDefault="00E43F63" w:rsidP="00E43F63">
      <w:pPr>
        <w:spacing w:before="120" w:after="120" w:line="264" w:lineRule="auto"/>
        <w:jc w:val="center"/>
        <w:rPr>
          <w:rFonts w:ascii="Times New Roman" w:hAnsi="Times New Roman" w:cs="Times New Roman"/>
          <w:color w:val="auto"/>
          <w:sz w:val="22"/>
          <w:szCs w:val="22"/>
        </w:rPr>
      </w:pPr>
    </w:p>
    <w:p w:rsidR="00E43F63" w:rsidRPr="005D72CF" w:rsidRDefault="00E43F63" w:rsidP="00E43F63">
      <w:pPr>
        <w:spacing w:before="120" w:after="120" w:line="264" w:lineRule="auto"/>
        <w:jc w:val="center"/>
        <w:rPr>
          <w:rFonts w:ascii="Times New Roman" w:hAnsi="Times New Roman" w:cs="Times New Roman"/>
          <w:color w:val="auto"/>
          <w:sz w:val="22"/>
          <w:szCs w:val="22"/>
        </w:rPr>
      </w:pPr>
    </w:p>
    <w:p w:rsidR="00E43F63" w:rsidRPr="005D72CF" w:rsidRDefault="00E43F63" w:rsidP="00E43F63">
      <w:pPr>
        <w:spacing w:line="480" w:lineRule="auto"/>
        <w:jc w:val="center"/>
        <w:rPr>
          <w:rFonts w:ascii="Times New Roman" w:hAnsi="Times New Roman" w:cs="Times New Roman"/>
          <w:color w:val="auto"/>
          <w:sz w:val="22"/>
          <w:szCs w:val="22"/>
        </w:rPr>
      </w:pPr>
      <w:r w:rsidRPr="005D72CF">
        <w:rPr>
          <w:rFonts w:ascii="Times New Roman" w:hAnsi="Times New Roman" w:cs="Times New Roman"/>
          <w:b/>
          <w:color w:val="auto"/>
          <w:sz w:val="28"/>
          <w:szCs w:val="28"/>
        </w:rPr>
        <w:t>PRIJEDLOG IZMJENA I DOPUNA NACIONALNOG PROGRAMA POMOĆI SEKTORU VINA ZA RAZDOBLJE OD 2019. DO 2023. GODINE</w:t>
      </w:r>
    </w:p>
    <w:p w:rsidR="00E43F63" w:rsidRPr="005D72CF" w:rsidRDefault="00E43F63" w:rsidP="00E43F63">
      <w:pPr>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tabs>
          <w:tab w:val="center" w:pos="4536"/>
          <w:tab w:val="right" w:pos="9072"/>
        </w:tabs>
        <w:spacing w:before="120" w:after="120" w:line="264" w:lineRule="auto"/>
        <w:rPr>
          <w:rFonts w:ascii="Times New Roman" w:hAnsi="Times New Roman" w:cs="Times New Roman"/>
          <w:color w:val="auto"/>
          <w:sz w:val="22"/>
          <w:szCs w:val="22"/>
        </w:rPr>
      </w:pPr>
    </w:p>
    <w:p w:rsidR="00E43F63" w:rsidRPr="005D72CF" w:rsidRDefault="00E43F63" w:rsidP="00E43F63">
      <w:pPr>
        <w:spacing w:before="120" w:after="120" w:line="264" w:lineRule="auto"/>
        <w:jc w:val="center"/>
        <w:rPr>
          <w:rFonts w:ascii="Times New Roman" w:hAnsi="Times New Roman" w:cs="Times New Roman"/>
          <w:b/>
          <w:color w:val="auto"/>
        </w:rPr>
      </w:pPr>
      <w:r w:rsidRPr="005D72CF">
        <w:rPr>
          <w:rFonts w:ascii="Times New Roman" w:hAnsi="Times New Roman" w:cs="Times New Roman"/>
          <w:b/>
          <w:color w:val="auto"/>
        </w:rPr>
        <w:t>Zagreb, lipanj 2022.</w:t>
      </w:r>
    </w:p>
    <w:p w:rsidR="002F05ED" w:rsidRPr="005D72CF" w:rsidRDefault="002F05ED" w:rsidP="002F05ED">
      <w:pPr>
        <w:rPr>
          <w:rFonts w:ascii="Times New Roman" w:hAnsi="Times New Roman" w:cs="Times New Roman"/>
          <w:color w:val="auto"/>
        </w:rPr>
      </w:pPr>
    </w:p>
    <w:p w:rsidR="002F05ED" w:rsidRPr="005D72CF" w:rsidRDefault="002F05ED" w:rsidP="002F05ED">
      <w:pPr>
        <w:jc w:val="both"/>
        <w:rPr>
          <w:rFonts w:ascii="Times New Roman" w:hAnsi="Times New Roman" w:cs="Times New Roman"/>
          <w:color w:val="auto"/>
        </w:rPr>
      </w:pPr>
      <w:r w:rsidRPr="005D72CF">
        <w:rPr>
          <w:rFonts w:ascii="Times New Roman" w:hAnsi="Times New Roman" w:cs="Times New Roman"/>
          <w:color w:val="auto"/>
        </w:rPr>
        <w:t>U Nacionalnom programu pomoći sektoru vina za razdoblje od 2019. do 2023. godine, koji je donesen Odlukom Vlade Republike Hrvatske KLASA: 022-03/18-07/597, URBROJ: 50301-25/06-19-3 od 3. siječnja 2019., Odlukom Vlade Republike Hrvatske KLASA: 022-03/20-04/62, URBROJ: 50301-25/14-20-4 od 25. lipnja 2020., Odlukom Vlade Republike Hrvatske KLASA: 022-03/20-04/327, URBROJ: 50301-05/27-20-3 od 10. rujna 2020. i Odlukom Vlade Republike Hrvatske KLASA: 022-03/21-04/129, URBROJ: 50301-05/31-21-3 od 29. travnja 2021. godine mijenja se i dopunjuje u sljedećem:</w:t>
      </w:r>
    </w:p>
    <w:p w:rsidR="002F05ED" w:rsidRPr="005D72CF" w:rsidRDefault="002F05ED" w:rsidP="002F05ED">
      <w:pPr>
        <w:tabs>
          <w:tab w:val="left" w:pos="5954"/>
        </w:tabs>
        <w:contextualSpacing/>
        <w:jc w:val="both"/>
        <w:rPr>
          <w:rFonts w:ascii="Times New Roman" w:hAnsi="Times New Roman" w:cs="Times New Roman"/>
          <w:color w:val="auto"/>
          <w:spacing w:val="-10"/>
          <w:kern w:val="28"/>
          <w:szCs w:val="56"/>
          <w:lang w:eastAsia="en-US"/>
        </w:rPr>
      </w:pPr>
    </w:p>
    <w:p w:rsidR="002F05ED" w:rsidRPr="005D72CF" w:rsidRDefault="002F05ED" w:rsidP="002F05ED">
      <w:pPr>
        <w:keepNext/>
        <w:keepLines/>
        <w:spacing w:before="240"/>
        <w:jc w:val="both"/>
        <w:outlineLvl w:val="0"/>
        <w:rPr>
          <w:rFonts w:ascii="Times New Roman" w:hAnsi="Times New Roman" w:cs="Times New Roman"/>
          <w:color w:val="auto"/>
          <w:szCs w:val="32"/>
        </w:rPr>
      </w:pPr>
      <w:r w:rsidRPr="005D72CF">
        <w:rPr>
          <w:rFonts w:ascii="Times New Roman" w:hAnsi="Times New Roman" w:cs="Times New Roman"/>
          <w:b/>
          <w:color w:val="auto"/>
          <w:szCs w:val="32"/>
        </w:rPr>
        <w:t>U dijelu Uvod, u podnaslovu »Izmjene i dopune Nacionalnog programa pomoći sektoru vina za razdoblje od 2019. do 2023. godine«, u prvom odlomku iza trinaestog podstavka dodaju se podstavci koji glase:</w:t>
      </w:r>
    </w:p>
    <w:p w:rsidR="002F05ED" w:rsidRPr="005D72CF" w:rsidRDefault="002F05ED" w:rsidP="002F05ED">
      <w:pPr>
        <w:spacing w:before="120" w:after="120"/>
        <w:jc w:val="both"/>
        <w:rPr>
          <w:rFonts w:ascii="Times New Roman" w:hAnsi="Times New Roman" w:cs="Times New Roman"/>
          <w:color w:val="auto"/>
          <w:sz w:val="23"/>
          <w:szCs w:val="23"/>
        </w:rPr>
      </w:pPr>
      <w:r w:rsidRPr="005D72CF">
        <w:rPr>
          <w:rFonts w:ascii="Times New Roman" w:hAnsi="Times New Roman" w:cs="Times New Roman"/>
          <w:color w:val="auto"/>
          <w:sz w:val="23"/>
          <w:szCs w:val="23"/>
        </w:rPr>
        <w:t>»</w:t>
      </w:r>
      <w:r w:rsidRPr="005D72CF">
        <w:rPr>
          <w:rFonts w:ascii="Times New Roman" w:hAnsi="Times New Roman" w:cs="Times New Roman"/>
          <w:color w:val="auto"/>
        </w:rPr>
        <w:t xml:space="preserve">- Delegirana uredba Komisije (EU) 2021/2026 </w:t>
      </w:r>
      <w:proofErr w:type="spellStart"/>
      <w:r w:rsidRPr="005D72CF">
        <w:rPr>
          <w:rFonts w:ascii="Times New Roman" w:hAnsi="Times New Roman" w:cs="Times New Roman"/>
          <w:color w:val="auto"/>
        </w:rPr>
        <w:t>оd</w:t>
      </w:r>
      <w:proofErr w:type="spellEnd"/>
      <w:r w:rsidRPr="005D72CF">
        <w:rPr>
          <w:rFonts w:ascii="Times New Roman" w:hAnsi="Times New Roman" w:cs="Times New Roman"/>
          <w:color w:val="auto"/>
        </w:rPr>
        <w:t xml:space="preserve"> 13. rujna 2021. o izmjeni Delegirane uredbe (EU) 2020/592 u pogledu određenih privremenih odstupanja od Uredbe (EU) br. 1308/2013 Europskog parlamenta i Vijeća radi odgovora na tržišne poremećaje u sektoru vina uzrokovane </w:t>
      </w:r>
      <w:proofErr w:type="spellStart"/>
      <w:r w:rsidRPr="005D72CF">
        <w:rPr>
          <w:rFonts w:ascii="Times New Roman" w:hAnsi="Times New Roman" w:cs="Times New Roman"/>
          <w:color w:val="auto"/>
        </w:rPr>
        <w:t>pandemijom</w:t>
      </w:r>
      <w:proofErr w:type="spellEnd"/>
      <w:r w:rsidRPr="005D72CF">
        <w:rPr>
          <w:rFonts w:ascii="Times New Roman" w:hAnsi="Times New Roman" w:cs="Times New Roman"/>
          <w:color w:val="auto"/>
        </w:rPr>
        <w:t xml:space="preserve"> bolesti COVID-19 i njihova razdoblja primjene</w:t>
      </w:r>
      <w:r w:rsidRPr="005D72CF">
        <w:rPr>
          <w:rFonts w:ascii="Times New Roman" w:hAnsi="Times New Roman" w:cs="Times New Roman"/>
          <w:color w:val="auto"/>
          <w:sz w:val="23"/>
          <w:szCs w:val="23"/>
        </w:rPr>
        <w:t xml:space="preserve"> </w:t>
      </w:r>
    </w:p>
    <w:p w:rsidR="002F05ED" w:rsidRPr="005D72CF" w:rsidRDefault="002F05ED" w:rsidP="002F05ED">
      <w:pPr>
        <w:spacing w:before="120" w:after="120"/>
        <w:jc w:val="both"/>
        <w:rPr>
          <w:rFonts w:ascii="Times New Roman" w:hAnsi="Times New Roman" w:cs="Times New Roman"/>
          <w:color w:val="auto"/>
        </w:rPr>
      </w:pPr>
      <w:r w:rsidRPr="005D72CF">
        <w:rPr>
          <w:rFonts w:ascii="Times New Roman" w:hAnsi="Times New Roman" w:cs="Times New Roman"/>
          <w:color w:val="auto"/>
          <w:sz w:val="23"/>
          <w:szCs w:val="23"/>
        </w:rPr>
        <w:t xml:space="preserve">- </w:t>
      </w:r>
      <w:r w:rsidRPr="005D72CF">
        <w:rPr>
          <w:rFonts w:ascii="Times New Roman" w:hAnsi="Times New Roman" w:cs="Times New Roman"/>
          <w:color w:val="auto"/>
        </w:rPr>
        <w:t xml:space="preserve">Provedbena uredba Komisije (EU) 2021/1763 </w:t>
      </w:r>
      <w:proofErr w:type="spellStart"/>
      <w:r w:rsidRPr="005D72CF">
        <w:rPr>
          <w:rFonts w:ascii="Times New Roman" w:hAnsi="Times New Roman" w:cs="Times New Roman"/>
          <w:color w:val="auto"/>
        </w:rPr>
        <w:t>оd</w:t>
      </w:r>
      <w:proofErr w:type="spellEnd"/>
      <w:r w:rsidRPr="005D72CF">
        <w:rPr>
          <w:rFonts w:ascii="Times New Roman" w:hAnsi="Times New Roman" w:cs="Times New Roman"/>
          <w:color w:val="auto"/>
        </w:rPr>
        <w:t xml:space="preserve"> 6. listopada 2021. o izmjeni Provedbene uredbe (EU) 2020/600 u pogledu odstupanja od Provedbene uredbe (EU) 2016/1150 radi suzbijanja krize uzrokovane </w:t>
      </w:r>
      <w:proofErr w:type="spellStart"/>
      <w:r w:rsidRPr="005D72CF">
        <w:rPr>
          <w:rFonts w:ascii="Times New Roman" w:hAnsi="Times New Roman" w:cs="Times New Roman"/>
          <w:color w:val="auto"/>
        </w:rPr>
        <w:t>pandemijom</w:t>
      </w:r>
      <w:proofErr w:type="spellEnd"/>
      <w:r w:rsidRPr="005D72CF">
        <w:rPr>
          <w:rFonts w:ascii="Times New Roman" w:hAnsi="Times New Roman" w:cs="Times New Roman"/>
          <w:color w:val="auto"/>
        </w:rPr>
        <w:t xml:space="preserve"> bolesti COVID-19 u sektoru vina</w:t>
      </w:r>
    </w:p>
    <w:p w:rsidR="002F05ED" w:rsidRPr="005D72CF" w:rsidRDefault="002F05ED" w:rsidP="002F05ED">
      <w:pPr>
        <w:spacing w:before="120" w:after="120"/>
        <w:jc w:val="both"/>
        <w:rPr>
          <w:rFonts w:ascii="Times New Roman" w:hAnsi="Times New Roman" w:cs="Times New Roman"/>
          <w:color w:val="auto"/>
        </w:rPr>
      </w:pPr>
      <w:r w:rsidRPr="005D72CF">
        <w:rPr>
          <w:rFonts w:ascii="Times New Roman" w:hAnsi="Times New Roman" w:cs="Times New Roman"/>
          <w:color w:val="auto"/>
        </w:rPr>
        <w:t xml:space="preserve">- Provedbena uredba Komisije (EU) 2021/1785 </w:t>
      </w:r>
      <w:proofErr w:type="spellStart"/>
      <w:r w:rsidRPr="005D72CF">
        <w:rPr>
          <w:rFonts w:ascii="Times New Roman" w:hAnsi="Times New Roman" w:cs="Times New Roman"/>
          <w:color w:val="auto"/>
        </w:rPr>
        <w:t>оd</w:t>
      </w:r>
      <w:proofErr w:type="spellEnd"/>
      <w:r w:rsidRPr="005D72CF">
        <w:rPr>
          <w:rFonts w:ascii="Times New Roman" w:hAnsi="Times New Roman" w:cs="Times New Roman"/>
          <w:color w:val="auto"/>
        </w:rPr>
        <w:t xml:space="preserve"> 8. listopada 2021. o ispravku Provedbene uredbe (EU) 2020/600 u pogledu odstupanja od Provedbene uredbe (EU) 2016/1150 u odnosu na izmjene nacionalnih programa potpore u sektoru vina</w:t>
      </w:r>
    </w:p>
    <w:p w:rsidR="002F05ED" w:rsidRPr="005D72CF" w:rsidRDefault="002F05ED" w:rsidP="002F05ED">
      <w:pPr>
        <w:spacing w:before="120" w:after="120"/>
        <w:jc w:val="both"/>
        <w:rPr>
          <w:rFonts w:ascii="Times New Roman" w:hAnsi="Times New Roman" w:cs="Times New Roman"/>
          <w:color w:val="auto"/>
        </w:rPr>
      </w:pPr>
      <w:r w:rsidRPr="005D72CF">
        <w:rPr>
          <w:rFonts w:ascii="Times New Roman" w:hAnsi="Times New Roman" w:cs="Times New Roman"/>
          <w:color w:val="auto"/>
        </w:rPr>
        <w:t xml:space="preserve">- Provedbena uredba Komisije (EU) 2021/1786 </w:t>
      </w:r>
      <w:proofErr w:type="spellStart"/>
      <w:r w:rsidRPr="005D72CF">
        <w:rPr>
          <w:rFonts w:ascii="Times New Roman" w:hAnsi="Times New Roman" w:cs="Times New Roman"/>
          <w:color w:val="auto"/>
        </w:rPr>
        <w:t>оd</w:t>
      </w:r>
      <w:proofErr w:type="spellEnd"/>
      <w:r w:rsidRPr="005D72CF">
        <w:rPr>
          <w:rFonts w:ascii="Times New Roman" w:hAnsi="Times New Roman" w:cs="Times New Roman"/>
          <w:color w:val="auto"/>
        </w:rPr>
        <w:t xml:space="preserve"> 8. listopada 2021. o ispravku Provedbene uredbe (EU) 2021/78 u pogledu odstupanja od Provedbene uredbe (EU) 2016/1150 predviđenog u Provedbenoj uredbi (EU) 2020/600 u odnosu na izmjene nacionalnih programa potpore u sektoru vina«.</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1 (a)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Opis predloženih mjera riječi:</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 w:val="23"/>
          <w:szCs w:val="23"/>
        </w:rPr>
        <w:t>»</w:t>
      </w:r>
      <w:r w:rsidRPr="005D72CF">
        <w:rPr>
          <w:rFonts w:ascii="Times New Roman" w:hAnsi="Times New Roman" w:cs="Times New Roman"/>
          <w:b/>
          <w:color w:val="auto"/>
          <w:szCs w:val="32"/>
        </w:rPr>
        <w:t xml:space="preserve"> Nakon proteka tog roka, primjenjuju se odredbe o intenzitetu potpore kako je utvrđeno u prethodnom odlomku ovog podnaslova s nazivom Opis predloženih mjera« zamjenjuju se riječima:</w:t>
      </w:r>
    </w:p>
    <w:p w:rsidR="002F05ED" w:rsidRPr="005D72CF" w:rsidRDefault="002F05ED" w:rsidP="002F05ED">
      <w:pPr>
        <w:spacing w:before="120"/>
        <w:ind w:left="708"/>
        <w:jc w:val="both"/>
        <w:rPr>
          <w:rFonts w:ascii="Times New Roman" w:hAnsi="Times New Roman" w:cs="Times New Roman"/>
          <w:bCs/>
          <w:color w:val="auto"/>
        </w:rPr>
      </w:pPr>
      <w:r w:rsidRPr="005D72CF">
        <w:rPr>
          <w:rFonts w:ascii="Times New Roman" w:hAnsi="Times New Roman" w:cs="Times New Roman"/>
          <w:color w:val="auto"/>
          <w:sz w:val="23"/>
          <w:szCs w:val="23"/>
        </w:rPr>
        <w:t>»</w:t>
      </w:r>
      <w:r w:rsidRPr="005D72CF">
        <w:rPr>
          <w:rFonts w:ascii="Times New Roman" w:hAnsi="Times New Roman" w:cs="Times New Roman"/>
          <w:bCs/>
          <w:color w:val="auto"/>
          <w:szCs w:val="32"/>
        </w:rPr>
        <w:t xml:space="preserve">Za javne natječaje objavljene od 2022. godine primjenjuju se sljedeće odredbe o intenzitetu potpore: </w:t>
      </w:r>
      <w:bookmarkStart w:id="1" w:name="_Toc527631754"/>
      <w:bookmarkStart w:id="2" w:name="_Toc527631836"/>
      <w:bookmarkStart w:id="3" w:name="_Toc527633339"/>
    </w:p>
    <w:p w:rsidR="002F05ED" w:rsidRPr="005D72CF" w:rsidRDefault="002F05ED" w:rsidP="002F05ED">
      <w:pPr>
        <w:spacing w:before="120"/>
        <w:ind w:left="708"/>
        <w:jc w:val="both"/>
        <w:rPr>
          <w:rFonts w:ascii="Times New Roman" w:hAnsi="Times New Roman" w:cs="Times New Roman"/>
          <w:bCs/>
          <w:color w:val="auto"/>
        </w:rPr>
      </w:pPr>
      <w:r w:rsidRPr="005D72CF">
        <w:rPr>
          <w:rFonts w:ascii="Times New Roman" w:hAnsi="Times New Roman" w:cs="Times New Roman"/>
          <w:bCs/>
          <w:color w:val="auto"/>
        </w:rPr>
        <w:t>Maksimalni prihvatljivi troškovi po projektu su EUR 100.000</w:t>
      </w:r>
      <w:bookmarkEnd w:id="1"/>
      <w:bookmarkEnd w:id="2"/>
      <w:bookmarkEnd w:id="3"/>
    </w:p>
    <w:p w:rsidR="002F05ED" w:rsidRPr="005D72CF" w:rsidRDefault="002F05ED" w:rsidP="002F05ED">
      <w:pPr>
        <w:spacing w:before="120"/>
        <w:ind w:left="708"/>
        <w:jc w:val="both"/>
        <w:rPr>
          <w:rFonts w:ascii="Times New Roman" w:hAnsi="Times New Roman" w:cs="Times New Roman"/>
          <w:bCs/>
          <w:color w:val="auto"/>
        </w:rPr>
      </w:pPr>
      <w:bookmarkStart w:id="4" w:name="_Toc527631755"/>
      <w:bookmarkStart w:id="5" w:name="_Toc527631837"/>
      <w:bookmarkStart w:id="6" w:name="_Toc527633340"/>
      <w:r w:rsidRPr="005D72CF">
        <w:rPr>
          <w:rFonts w:ascii="Times New Roman" w:hAnsi="Times New Roman" w:cs="Times New Roman"/>
          <w:bCs/>
          <w:color w:val="auto"/>
        </w:rPr>
        <w:t>Razina EU potpore iznosi do 50% prihvatljivih troškova, a razina državne potpore proračuna Republike Hrvatske može iznositi do 30 % prihvatljivih troškova.</w:t>
      </w:r>
      <w:bookmarkEnd w:id="4"/>
      <w:bookmarkEnd w:id="5"/>
      <w:bookmarkEnd w:id="6"/>
    </w:p>
    <w:p w:rsidR="002F05ED" w:rsidRPr="005D72CF" w:rsidRDefault="002F05ED" w:rsidP="002F05ED">
      <w:pPr>
        <w:spacing w:before="120"/>
        <w:ind w:left="708"/>
        <w:jc w:val="both"/>
        <w:rPr>
          <w:rFonts w:ascii="Times New Roman" w:hAnsi="Times New Roman" w:cs="Times New Roman"/>
          <w:bCs/>
          <w:color w:val="auto"/>
        </w:rPr>
      </w:pPr>
      <w:r w:rsidRPr="005D72CF">
        <w:rPr>
          <w:rFonts w:ascii="Times New Roman" w:hAnsi="Times New Roman" w:cs="Times New Roman"/>
          <w:bCs/>
          <w:color w:val="auto"/>
        </w:rPr>
        <w:t>Maksimalni iznos EU potpore po projektu je EUR 50.000</w:t>
      </w:r>
    </w:p>
    <w:p w:rsidR="002F05ED" w:rsidRPr="005D72CF" w:rsidRDefault="002F05ED" w:rsidP="002F05ED">
      <w:pPr>
        <w:spacing w:before="120"/>
        <w:ind w:left="708"/>
        <w:jc w:val="both"/>
        <w:rPr>
          <w:rFonts w:ascii="Times New Roman" w:hAnsi="Times New Roman" w:cs="Times New Roman"/>
          <w:bCs/>
          <w:color w:val="auto"/>
          <w:szCs w:val="32"/>
        </w:rPr>
      </w:pPr>
      <w:r w:rsidRPr="005D72CF">
        <w:rPr>
          <w:rFonts w:ascii="Times New Roman" w:hAnsi="Times New Roman" w:cs="Times New Roman"/>
          <w:bCs/>
          <w:color w:val="auto"/>
        </w:rPr>
        <w:t>Maksimalni iznos državne potpore po projektu je EUR 30.000.</w:t>
      </w:r>
      <w:r w:rsidRPr="005D72CF">
        <w:rPr>
          <w:rFonts w:ascii="Times New Roman" w:hAnsi="Times New Roman" w:cs="Times New Roman"/>
          <w:color w:val="auto"/>
        </w:rPr>
        <w:t>«</w:t>
      </w:r>
      <w:r w:rsidRPr="005D72CF">
        <w:rPr>
          <w:rFonts w:ascii="Times New Roman" w:hAnsi="Times New Roman" w:cs="Times New Roman"/>
          <w:bCs/>
          <w:color w:val="auto"/>
          <w:szCs w:val="32"/>
        </w:rPr>
        <w:t xml:space="preserve"> </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1 (a)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Postupak prijave riječi:</w:t>
      </w:r>
    </w:p>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sz w:val="23"/>
          <w:szCs w:val="23"/>
        </w:rPr>
        <w:t>»</w:t>
      </w:r>
      <w:r w:rsidRPr="005D72CF">
        <w:rPr>
          <w:rFonts w:ascii="Times New Roman" w:hAnsi="Times New Roman" w:cs="Times New Roman"/>
          <w:color w:val="auto"/>
        </w:rPr>
        <w:t>Navedene Odluke Agencija za plaćanja izdaje u roku od 60 dana od dana zaprimanja potpunog zahtjeva za odobrenje izmjena« brišu se</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lastRenderedPageBreak/>
        <w:t xml:space="preserve">U dijelu A. točki 1 (a)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Postupak odabira riječi:</w:t>
      </w:r>
    </w:p>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sz w:val="23"/>
          <w:szCs w:val="23"/>
        </w:rPr>
        <w:t>»</w:t>
      </w:r>
      <w:r w:rsidRPr="005D72CF">
        <w:rPr>
          <w:rFonts w:ascii="Times New Roman" w:hAnsi="Times New Roman" w:cs="Times New Roman"/>
          <w:color w:val="auto"/>
        </w:rPr>
        <w:t>Agencija za plaćanja izdaje Odluke u roku od 90 dana od dana zaprimanja potpune prijave.« brišu se</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1 (b)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Opis predloženih mjera riječi:</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 w:val="23"/>
          <w:szCs w:val="23"/>
        </w:rPr>
        <w:t>»</w:t>
      </w:r>
      <w:r w:rsidRPr="005D72CF">
        <w:rPr>
          <w:rFonts w:ascii="Times New Roman" w:hAnsi="Times New Roman" w:cs="Times New Roman"/>
          <w:b/>
          <w:color w:val="auto"/>
          <w:szCs w:val="32"/>
        </w:rPr>
        <w:t xml:space="preserve"> Nakon proteka tog roka, primjenjuju se odredbe o intenzitetu potpore kako je utvrđeno u prethodnom odlomku ovog podnaslova s nazivom Opis predloženih mjera « zamjenjuju se riječima:</w:t>
      </w:r>
    </w:p>
    <w:p w:rsidR="002F05ED" w:rsidRPr="005D72CF" w:rsidRDefault="002F05ED" w:rsidP="002F05ED">
      <w:pPr>
        <w:spacing w:before="120"/>
        <w:ind w:left="708"/>
        <w:jc w:val="both"/>
        <w:rPr>
          <w:rFonts w:ascii="Times New Roman" w:hAnsi="Times New Roman" w:cs="Times New Roman"/>
          <w:bCs/>
          <w:color w:val="auto"/>
        </w:rPr>
      </w:pPr>
      <w:r w:rsidRPr="005D72CF">
        <w:rPr>
          <w:rFonts w:ascii="Times New Roman" w:hAnsi="Times New Roman" w:cs="Times New Roman"/>
          <w:color w:val="auto"/>
          <w:sz w:val="23"/>
          <w:szCs w:val="23"/>
        </w:rPr>
        <w:t>»</w:t>
      </w:r>
      <w:r w:rsidRPr="005D72CF">
        <w:rPr>
          <w:rFonts w:ascii="Times New Roman" w:hAnsi="Times New Roman" w:cs="Times New Roman"/>
          <w:bCs/>
          <w:color w:val="auto"/>
          <w:szCs w:val="32"/>
        </w:rPr>
        <w:t xml:space="preserve">Za javne natječaje objavljene od 2022. godine primjenjuju se sljedeće odredbe o intenzitetu potpore: </w:t>
      </w:r>
    </w:p>
    <w:p w:rsidR="002F05ED" w:rsidRPr="005D72CF" w:rsidRDefault="002F05ED" w:rsidP="002F05ED">
      <w:pPr>
        <w:spacing w:before="120"/>
        <w:ind w:left="351"/>
        <w:jc w:val="both"/>
        <w:rPr>
          <w:rFonts w:ascii="Times New Roman" w:hAnsi="Times New Roman" w:cs="Times New Roman"/>
          <w:color w:val="auto"/>
        </w:rPr>
      </w:pPr>
      <w:bookmarkStart w:id="7" w:name="_Toc527631762"/>
      <w:bookmarkStart w:id="8" w:name="_Toc527631844"/>
      <w:bookmarkStart w:id="9" w:name="_Toc527633360"/>
      <w:r w:rsidRPr="005D72CF">
        <w:rPr>
          <w:rFonts w:ascii="Times New Roman" w:hAnsi="Times New Roman" w:cs="Times New Roman"/>
          <w:color w:val="auto"/>
        </w:rPr>
        <w:t>Razina EU potpore iznosi do 50% od prihvatljivih troškova, a razina državne potpore proračuna Republike Hrvatske može iznositi do 30% prihvatljivih troškova</w:t>
      </w:r>
      <w:bookmarkEnd w:id="7"/>
      <w:bookmarkEnd w:id="8"/>
      <w:bookmarkEnd w:id="9"/>
      <w:r w:rsidRPr="005D72CF">
        <w:rPr>
          <w:rFonts w:ascii="Times New Roman" w:hAnsi="Times New Roman" w:cs="Times New Roman"/>
          <w:bCs/>
          <w:color w:val="auto"/>
        </w:rPr>
        <w:t>.</w:t>
      </w:r>
      <w:r w:rsidRPr="005D72CF">
        <w:rPr>
          <w:rFonts w:ascii="Times New Roman" w:hAnsi="Times New Roman" w:cs="Times New Roman"/>
          <w:color w:val="auto"/>
        </w:rPr>
        <w:t>«</w:t>
      </w:r>
      <w:r w:rsidRPr="005D72CF">
        <w:rPr>
          <w:rFonts w:ascii="Times New Roman" w:hAnsi="Times New Roman" w:cs="Times New Roman"/>
          <w:bCs/>
          <w:color w:val="auto"/>
          <w:szCs w:val="32"/>
        </w:rPr>
        <w:t xml:space="preserve"> </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1 (b)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Postupak prijave riječi:</w:t>
      </w:r>
    </w:p>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sz w:val="23"/>
          <w:szCs w:val="23"/>
        </w:rPr>
        <w:t>»</w:t>
      </w:r>
      <w:r w:rsidRPr="005D72CF">
        <w:rPr>
          <w:rFonts w:ascii="Times New Roman" w:hAnsi="Times New Roman" w:cs="Times New Roman"/>
          <w:color w:val="auto"/>
        </w:rPr>
        <w:t>Navedene Odluke Agencija za plaćanja izdaje u roku od 60 dana od dana zaprimanja potpunog zahtjeva za odobrenje izmjena« brišu se</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1 (b)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Postupak odabira riječi:</w:t>
      </w:r>
    </w:p>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sz w:val="23"/>
          <w:szCs w:val="23"/>
        </w:rPr>
        <w:t>»</w:t>
      </w:r>
      <w:r w:rsidRPr="005D72CF">
        <w:rPr>
          <w:rFonts w:ascii="Times New Roman" w:hAnsi="Times New Roman" w:cs="Times New Roman"/>
          <w:color w:val="auto"/>
        </w:rPr>
        <w:t>Agencija za plaćanja izdaje Odluke u roku od 90 dana od dana zaprimanja potpune prijave.« brišu se</w:t>
      </w:r>
    </w:p>
    <w:p w:rsidR="002F05ED" w:rsidRPr="005D72CF" w:rsidRDefault="002F05ED" w:rsidP="002F05ED">
      <w:pPr>
        <w:rPr>
          <w:rFonts w:ascii="Times New Roman" w:hAnsi="Times New Roman" w:cs="Times New Roman"/>
          <w:color w:val="auto"/>
        </w:rPr>
      </w:pP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2 (a)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Opis predloženih mjera iza riječi koje glase:</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 w:val="23"/>
          <w:szCs w:val="23"/>
        </w:rPr>
        <w:t>»</w:t>
      </w:r>
      <w:r w:rsidRPr="005D72CF">
        <w:rPr>
          <w:rFonts w:ascii="Times New Roman" w:hAnsi="Times New Roman" w:cs="Times New Roman"/>
          <w:b/>
          <w:color w:val="auto"/>
          <w:szCs w:val="32"/>
        </w:rPr>
        <w:t>Nakon proteka tog roka, primjenjuju se odredbe o intenzitetu potpore kako je utvrđeno u prethodnom odlomku ovog podnaslova s nazivom Opis predloženih mjera (navedeni iznos povećanja odnosi se i na tablicu u nastavku).« dodaju se riječi koje glase:</w:t>
      </w:r>
    </w:p>
    <w:p w:rsidR="002F05ED" w:rsidRPr="005D72CF" w:rsidRDefault="002F05ED" w:rsidP="002F05ED">
      <w:pPr>
        <w:spacing w:before="120"/>
        <w:ind w:left="348"/>
        <w:jc w:val="both"/>
        <w:rPr>
          <w:rFonts w:ascii="Times New Roman" w:hAnsi="Times New Roman" w:cs="Times New Roman"/>
          <w:bCs/>
          <w:color w:val="auto"/>
        </w:rPr>
      </w:pPr>
      <w:r w:rsidRPr="005D72CF">
        <w:rPr>
          <w:rFonts w:ascii="Times New Roman" w:hAnsi="Times New Roman" w:cs="Times New Roman"/>
          <w:color w:val="auto"/>
          <w:sz w:val="23"/>
          <w:szCs w:val="23"/>
        </w:rPr>
        <w:t>»</w:t>
      </w:r>
      <w:r w:rsidRPr="005D72CF">
        <w:rPr>
          <w:rFonts w:ascii="Times New Roman" w:hAnsi="Times New Roman" w:cs="Times New Roman"/>
          <w:bCs/>
          <w:color w:val="auto"/>
          <w:szCs w:val="32"/>
        </w:rPr>
        <w:t xml:space="preserve">Za javne natječaje objavljene od 2022. godine primjenjuju se sljedeće odredbe o intenzitetu potpore: </w:t>
      </w:r>
    </w:p>
    <w:p w:rsidR="002F05ED" w:rsidRPr="005D72CF" w:rsidRDefault="002F05ED" w:rsidP="002F05ED">
      <w:pPr>
        <w:spacing w:before="120"/>
        <w:ind w:left="348"/>
        <w:jc w:val="both"/>
        <w:rPr>
          <w:rFonts w:ascii="Times New Roman" w:hAnsi="Times New Roman" w:cs="Times New Roman"/>
          <w:color w:val="auto"/>
        </w:rPr>
      </w:pPr>
      <w:r w:rsidRPr="005D72CF">
        <w:rPr>
          <w:rFonts w:ascii="Times New Roman" w:hAnsi="Times New Roman" w:cs="Times New Roman"/>
          <w:color w:val="auto"/>
        </w:rPr>
        <w:t xml:space="preserve">Maksimalni prihvatljivi troškovi po projektu su do </w:t>
      </w:r>
      <w:r w:rsidRPr="005D72CF">
        <w:rPr>
          <w:rFonts w:ascii="Times New Roman" w:eastAsia="Calibri" w:hAnsi="Times New Roman" w:cs="Times New Roman"/>
          <w:color w:val="auto"/>
        </w:rPr>
        <w:t>EUR 1.000.000.</w:t>
      </w:r>
    </w:p>
    <w:p w:rsidR="002F05ED" w:rsidRPr="005D72CF" w:rsidRDefault="002F05ED" w:rsidP="002F05ED">
      <w:pPr>
        <w:spacing w:before="120"/>
        <w:ind w:left="348"/>
        <w:jc w:val="both"/>
        <w:rPr>
          <w:rFonts w:ascii="Times New Roman" w:hAnsi="Times New Roman" w:cs="Times New Roman"/>
          <w:color w:val="auto"/>
        </w:rPr>
      </w:pPr>
      <w:r w:rsidRPr="005D72CF">
        <w:rPr>
          <w:rFonts w:ascii="Times New Roman" w:hAnsi="Times New Roman" w:cs="Times New Roman"/>
          <w:color w:val="auto"/>
        </w:rPr>
        <w:t>Maksimalni iznos EU potpore po projektu je EUR 750.000 odnosno razina EU potpore iznosi do 75% od prihvatljivih troškova.«</w:t>
      </w:r>
      <w:r w:rsidRPr="005D72CF">
        <w:rPr>
          <w:rFonts w:ascii="Times New Roman" w:hAnsi="Times New Roman" w:cs="Times New Roman"/>
          <w:bCs/>
          <w:color w:val="auto"/>
          <w:szCs w:val="32"/>
        </w:rPr>
        <w:t xml:space="preserve"> </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2 (a)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Opis predloženih mjera u dijelu s podnaslovom Doprinosi u naravi tablični prikaz aktivnosti s iznosima potpore/ha ne </w:t>
      </w:r>
      <w:r w:rsidRPr="005D72CF">
        <w:rPr>
          <w:rFonts w:ascii="Times New Roman" w:hAnsi="Times New Roman" w:cs="Times New Roman"/>
          <w:b/>
          <w:bCs/>
          <w:color w:val="auto"/>
          <w:szCs w:val="32"/>
        </w:rPr>
        <w:t xml:space="preserve">primjenjuju se za javne natječaje objavljene od 2022. godine. </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2. (a)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Administrativna kontrola prijava u pogledu razumnosti troškova treći odlomak mijenja se i glasi:</w:t>
      </w:r>
    </w:p>
    <w:p w:rsidR="002F05ED" w:rsidRPr="005D72CF" w:rsidRDefault="002F05ED" w:rsidP="002F05ED">
      <w:pPr>
        <w:spacing w:before="100" w:beforeAutospacing="1"/>
        <w:jc w:val="both"/>
        <w:rPr>
          <w:rFonts w:ascii="Times New Roman" w:hAnsi="Times New Roman" w:cs="Times New Roman"/>
          <w:color w:val="auto"/>
        </w:rPr>
      </w:pPr>
      <w:r w:rsidRPr="005D72CF">
        <w:rPr>
          <w:rFonts w:ascii="Times New Roman" w:hAnsi="Times New Roman" w:cs="Times New Roman"/>
          <w:color w:val="auto"/>
          <w:sz w:val="23"/>
          <w:szCs w:val="23"/>
        </w:rPr>
        <w:t>»</w:t>
      </w:r>
      <w:r w:rsidRPr="005D72CF">
        <w:rPr>
          <w:rFonts w:ascii="Times New Roman" w:hAnsi="Times New Roman" w:cs="Times New Roman"/>
          <w:color w:val="auto"/>
        </w:rPr>
        <w:t>Uzimajući u obzir prirodu same mjere Agencija za plaćanja će prilikom utvrđivanja razumnosti troškova koristiti sljedeće metode:</w:t>
      </w:r>
    </w:p>
    <w:p w:rsidR="002F05ED" w:rsidRPr="005D72CF" w:rsidRDefault="002F05ED" w:rsidP="002F05ED">
      <w:pPr>
        <w:spacing w:before="100" w:beforeAutospacing="1"/>
        <w:jc w:val="both"/>
        <w:rPr>
          <w:rFonts w:ascii="Times New Roman" w:hAnsi="Times New Roman" w:cs="Times New Roman"/>
          <w:color w:val="auto"/>
        </w:rPr>
      </w:pPr>
      <w:r w:rsidRPr="005D72CF">
        <w:rPr>
          <w:rFonts w:ascii="Times New Roman" w:hAnsi="Times New Roman" w:cs="Times New Roman"/>
          <w:color w:val="auto"/>
        </w:rPr>
        <w:t xml:space="preserve">a) usporedbu različitih ponuda pri čemu mora voditi računa o: </w:t>
      </w:r>
    </w:p>
    <w:p w:rsidR="002F05ED" w:rsidRPr="005D72CF" w:rsidRDefault="002F05ED" w:rsidP="002F05ED">
      <w:pPr>
        <w:numPr>
          <w:ilvl w:val="0"/>
          <w:numId w:val="5"/>
        </w:numPr>
        <w:spacing w:before="100" w:beforeAutospacing="1"/>
        <w:jc w:val="both"/>
        <w:rPr>
          <w:rFonts w:ascii="Times New Roman" w:hAnsi="Times New Roman" w:cs="Times New Roman"/>
          <w:color w:val="auto"/>
        </w:rPr>
      </w:pPr>
      <w:r w:rsidRPr="005D72CF">
        <w:rPr>
          <w:rFonts w:ascii="Times New Roman" w:hAnsi="Times New Roman" w:cs="Times New Roman"/>
          <w:color w:val="auto"/>
        </w:rPr>
        <w:t xml:space="preserve">neovisnosti ponuda (ako se tijekom provjere ponuda utvrdi da su informacije dostavljene od strane podnositelja i/ili ponuditelja lažne ili pogrešne, da su cijene u </w:t>
      </w:r>
      <w:r w:rsidRPr="005D72CF">
        <w:rPr>
          <w:rFonts w:ascii="Times New Roman" w:hAnsi="Times New Roman" w:cs="Times New Roman"/>
          <w:color w:val="auto"/>
        </w:rPr>
        <w:lastRenderedPageBreak/>
        <w:t>dostavljenim ponudama namjerno uvećane, da postoji sukob interesa između Podnositelja i ponuditelja te sukob interesa između ponuditelja u istom ulaganju Agencija za plaćanja utvrditi će da takva ponuda ne udovoljava uvjetima. Ukoliko se utvrdi da su umjetno stvoreni uvjeti za dobivanje potpore, Agencija za plaćanja će utvrditi da takva Prijava ne udovoljava uvjetima. Podnositelj ne smije pribavljati ponude od ponuditelja roba, radova i/ili usluga, s kojima je u sukobu interesa, uključivo i ponuditeljeve podizvođače za robe i usluge koje on koristi u okviru projekta. Na ponudi mora biti navedeno da li u provedbi ulaganja sudjeluju podizvođači/pod ugovaratelji, ako sudjeluju, isti moraju biti navedeni na način da ih se može identificirati);</w:t>
      </w:r>
    </w:p>
    <w:p w:rsidR="002F05ED" w:rsidRPr="005D72CF" w:rsidRDefault="002F05ED" w:rsidP="002F05ED">
      <w:pPr>
        <w:numPr>
          <w:ilvl w:val="0"/>
          <w:numId w:val="5"/>
        </w:numPr>
        <w:spacing w:before="100" w:beforeAutospacing="1"/>
        <w:jc w:val="both"/>
        <w:rPr>
          <w:rFonts w:ascii="Times New Roman" w:hAnsi="Times New Roman" w:cs="Times New Roman"/>
          <w:color w:val="auto"/>
        </w:rPr>
      </w:pPr>
      <w:r w:rsidRPr="005D72CF">
        <w:rPr>
          <w:rFonts w:ascii="Times New Roman" w:hAnsi="Times New Roman" w:cs="Times New Roman"/>
          <w:color w:val="auto"/>
        </w:rPr>
        <w:t>mogućnosti usporedbe ponuda;</w:t>
      </w:r>
    </w:p>
    <w:p w:rsidR="002F05ED" w:rsidRPr="005D72CF" w:rsidRDefault="002F05ED" w:rsidP="002F05ED">
      <w:pPr>
        <w:numPr>
          <w:ilvl w:val="0"/>
          <w:numId w:val="5"/>
        </w:numPr>
        <w:spacing w:before="100" w:beforeAutospacing="1"/>
        <w:jc w:val="both"/>
        <w:rPr>
          <w:rFonts w:ascii="Times New Roman" w:hAnsi="Times New Roman" w:cs="Times New Roman"/>
          <w:color w:val="auto"/>
        </w:rPr>
      </w:pPr>
      <w:r w:rsidRPr="005D72CF">
        <w:rPr>
          <w:rFonts w:ascii="Times New Roman" w:hAnsi="Times New Roman" w:cs="Times New Roman"/>
          <w:color w:val="auto"/>
        </w:rPr>
        <w:t>važenju ponude na dan podnošenja prijave (ponude moraju biti realne i odražavati tržišne cijene te na njima trebaju biti jasno naznačeni troškovi u iznosima sa i bez PDV-a, ponude moraju biti detaljno specificirane, a iznos odabrane ponude mora biti jasno povezan s iznosom iz Plana aktivnosti);</w:t>
      </w:r>
    </w:p>
    <w:p w:rsidR="002F05ED" w:rsidRPr="005D72CF" w:rsidRDefault="002F05ED" w:rsidP="002F05ED">
      <w:pPr>
        <w:numPr>
          <w:ilvl w:val="0"/>
          <w:numId w:val="5"/>
        </w:numPr>
        <w:spacing w:before="100" w:beforeAutospacing="1"/>
        <w:jc w:val="both"/>
        <w:rPr>
          <w:rFonts w:ascii="Times New Roman" w:hAnsi="Times New Roman" w:cs="Times New Roman"/>
          <w:color w:val="auto"/>
        </w:rPr>
      </w:pPr>
      <w:r w:rsidRPr="005D72CF">
        <w:rPr>
          <w:rFonts w:ascii="Times New Roman" w:hAnsi="Times New Roman" w:cs="Times New Roman"/>
          <w:color w:val="auto"/>
        </w:rPr>
        <w:t>informacije dostavljene od strane podnositelja i/ili ponuditelja moraju biti istinite,</w:t>
      </w:r>
    </w:p>
    <w:p w:rsidR="002F05ED" w:rsidRPr="005D72CF" w:rsidRDefault="002F05ED" w:rsidP="002F05ED">
      <w:pPr>
        <w:numPr>
          <w:ilvl w:val="0"/>
          <w:numId w:val="5"/>
        </w:numPr>
        <w:spacing w:before="100" w:beforeAutospacing="1"/>
        <w:jc w:val="both"/>
        <w:rPr>
          <w:rFonts w:ascii="Times New Roman" w:hAnsi="Times New Roman" w:cs="Times New Roman"/>
          <w:color w:val="auto"/>
        </w:rPr>
      </w:pPr>
      <w:r w:rsidRPr="005D72CF">
        <w:rPr>
          <w:rFonts w:ascii="Times New Roman" w:hAnsi="Times New Roman" w:cs="Times New Roman"/>
          <w:color w:val="auto"/>
        </w:rPr>
        <w:t>cijene u dostavljenim ponudama ne smiju biti uvećane u odnosu na tržišne cijene,</w:t>
      </w:r>
    </w:p>
    <w:p w:rsidR="002F05ED" w:rsidRPr="005D72CF" w:rsidRDefault="002F05ED" w:rsidP="002F05ED">
      <w:pPr>
        <w:numPr>
          <w:ilvl w:val="0"/>
          <w:numId w:val="5"/>
        </w:numPr>
        <w:spacing w:before="100" w:beforeAutospacing="1"/>
        <w:jc w:val="both"/>
        <w:rPr>
          <w:rFonts w:ascii="Times New Roman" w:hAnsi="Times New Roman" w:cs="Times New Roman"/>
          <w:color w:val="auto"/>
        </w:rPr>
      </w:pPr>
      <w:r w:rsidRPr="005D72CF">
        <w:rPr>
          <w:rFonts w:ascii="Times New Roman" w:hAnsi="Times New Roman" w:cs="Times New Roman"/>
          <w:color w:val="auto"/>
        </w:rPr>
        <w:t>u dostavljenim ponudama ne smiju biti umjetno stvoreni uvjeti za dobivanje potpore.</w:t>
      </w:r>
    </w:p>
    <w:p w:rsidR="002F05ED" w:rsidRPr="005D72CF" w:rsidRDefault="002F05ED" w:rsidP="002F05ED">
      <w:pPr>
        <w:spacing w:before="100" w:beforeAutospacing="1"/>
        <w:jc w:val="both"/>
        <w:rPr>
          <w:rFonts w:ascii="Times New Roman" w:hAnsi="Times New Roman" w:cs="Times New Roman"/>
          <w:color w:val="auto"/>
        </w:rPr>
      </w:pPr>
      <w:r w:rsidRPr="005D72CF">
        <w:rPr>
          <w:rFonts w:ascii="Times New Roman" w:hAnsi="Times New Roman" w:cs="Times New Roman"/>
          <w:color w:val="auto"/>
        </w:rPr>
        <w:t>b) standardnu veličinu jediničnih troškova. «</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2. (a)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Postupak prijave riječi:</w:t>
      </w:r>
    </w:p>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sz w:val="23"/>
          <w:szCs w:val="23"/>
        </w:rPr>
        <w:t>»</w:t>
      </w:r>
      <w:r w:rsidRPr="005D72CF">
        <w:rPr>
          <w:rFonts w:ascii="Times New Roman" w:hAnsi="Times New Roman" w:cs="Times New Roman"/>
          <w:color w:val="auto"/>
        </w:rPr>
        <w:t>Navedene Odluke Agencija za plaćanja izdaje u roku od 60 dana od dana zaprimanja potpunog zahtjeva za odobrenje izmjena« brišu se</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2. (a) </w:t>
      </w:r>
      <w:proofErr w:type="spellStart"/>
      <w:r w:rsidRPr="005D72CF">
        <w:rPr>
          <w:rFonts w:ascii="Times New Roman" w:hAnsi="Times New Roman" w:cs="Times New Roman"/>
          <w:b/>
          <w:color w:val="auto"/>
          <w:szCs w:val="32"/>
        </w:rPr>
        <w:t>podpoglavlja</w:t>
      </w:r>
      <w:proofErr w:type="spellEnd"/>
      <w:r w:rsidRPr="005D72CF">
        <w:rPr>
          <w:rFonts w:ascii="Times New Roman" w:hAnsi="Times New Roman" w:cs="Times New Roman"/>
          <w:b/>
          <w:color w:val="auto"/>
          <w:szCs w:val="32"/>
        </w:rPr>
        <w:t xml:space="preserve"> s naslovima Administrativna kontrola prijava u pogledu razumnosti troškova</w:t>
      </w:r>
      <w:r w:rsidRPr="005D72CF" w:rsidDel="006717A1">
        <w:rPr>
          <w:rFonts w:ascii="Times New Roman" w:hAnsi="Times New Roman" w:cs="Times New Roman"/>
          <w:b/>
          <w:color w:val="auto"/>
          <w:szCs w:val="32"/>
        </w:rPr>
        <w:t xml:space="preserve"> </w:t>
      </w:r>
      <w:r w:rsidRPr="005D72CF">
        <w:rPr>
          <w:rFonts w:ascii="Times New Roman" w:hAnsi="Times New Roman" w:cs="Times New Roman"/>
          <w:b/>
          <w:color w:val="auto"/>
          <w:szCs w:val="32"/>
        </w:rPr>
        <w:t>i Referentni troškovi (cijene) brišu se.</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2. (a) </w:t>
      </w:r>
      <w:proofErr w:type="spellStart"/>
      <w:r w:rsidRPr="005D72CF">
        <w:rPr>
          <w:rFonts w:ascii="Times New Roman" w:hAnsi="Times New Roman" w:cs="Times New Roman"/>
          <w:b/>
          <w:color w:val="auto"/>
          <w:szCs w:val="32"/>
        </w:rPr>
        <w:t>podtočka</w:t>
      </w:r>
      <w:proofErr w:type="spellEnd"/>
      <w:r w:rsidRPr="005D72CF">
        <w:rPr>
          <w:rFonts w:ascii="Times New Roman" w:hAnsi="Times New Roman" w:cs="Times New Roman"/>
          <w:b/>
          <w:color w:val="auto"/>
          <w:szCs w:val="32"/>
        </w:rPr>
        <w:t xml:space="preserve"> vi. mijenja se i glasi: </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 w:val="23"/>
          <w:szCs w:val="23"/>
        </w:rPr>
        <w:t>»i.</w:t>
      </w:r>
      <w:r w:rsidRPr="005D72CF">
        <w:rPr>
          <w:rFonts w:ascii="Times New Roman" w:hAnsi="Times New Roman" w:cs="Times New Roman"/>
          <w:b/>
          <w:color w:val="auto"/>
          <w:szCs w:val="32"/>
        </w:rPr>
        <w:t xml:space="preserve"> Primjena standardnih veličina jediničnih troškova/</w:t>
      </w:r>
      <w:r w:rsidRPr="005D72CF">
        <w:rPr>
          <w:rFonts w:ascii="Times New Roman" w:hAnsi="Times New Roman" w:cs="Times New Roman"/>
          <w:b/>
          <w:strike/>
          <w:color w:val="auto"/>
          <w:szCs w:val="32"/>
        </w:rPr>
        <w:t>doprinosi u naravi</w:t>
      </w:r>
      <w:r w:rsidRPr="005D72CF">
        <w:rPr>
          <w:rFonts w:ascii="Times New Roman" w:hAnsi="Times New Roman" w:cs="Times New Roman"/>
          <w:b/>
          <w:color w:val="auto"/>
          <w:szCs w:val="32"/>
        </w:rPr>
        <w:t>: da/</w:t>
      </w:r>
      <w:r w:rsidRPr="005D72CF">
        <w:rPr>
          <w:rFonts w:ascii="Times New Roman" w:hAnsi="Times New Roman" w:cs="Times New Roman"/>
          <w:b/>
          <w:strike/>
          <w:color w:val="auto"/>
          <w:szCs w:val="32"/>
        </w:rPr>
        <w:t xml:space="preserve">ne </w:t>
      </w:r>
    </w:p>
    <w:p w:rsidR="002F05ED" w:rsidRPr="005D72CF" w:rsidRDefault="002F05ED" w:rsidP="002F05ED">
      <w:pPr>
        <w:spacing w:before="120"/>
        <w:jc w:val="both"/>
        <w:rPr>
          <w:rFonts w:ascii="Times New Roman" w:hAnsi="Times New Roman" w:cs="Times New Roman"/>
          <w:bCs/>
          <w:color w:val="auto"/>
          <w:szCs w:val="32"/>
        </w:rPr>
      </w:pPr>
      <w:r w:rsidRPr="005D72CF">
        <w:rPr>
          <w:rFonts w:ascii="Times New Roman" w:hAnsi="Times New Roman" w:cs="Times New Roman"/>
          <w:bCs/>
          <w:color w:val="auto"/>
          <w:szCs w:val="32"/>
        </w:rPr>
        <w:t>Za javne natječaje objavljene od 2022. godine primjenjuju se vrijednosti prikazane u sljedećem tabličnom prikazu:</w:t>
      </w:r>
      <w:r w:rsidRPr="005D72CF">
        <w:rPr>
          <w:rFonts w:ascii="Times New Roman" w:hAnsi="Times New Roman" w:cs="Times New Roman"/>
          <w:color w:val="auto"/>
        </w:rPr>
        <w:t>«</w:t>
      </w:r>
    </w:p>
    <w:p w:rsidR="002F05ED" w:rsidRPr="005D72CF" w:rsidRDefault="002F05ED" w:rsidP="002F05ED">
      <w:pPr>
        <w:spacing w:before="120"/>
        <w:jc w:val="both"/>
        <w:rPr>
          <w:rFonts w:ascii="Times New Roman" w:hAnsi="Times New Roman" w:cs="Times New Roman"/>
          <w:color w:val="auto"/>
        </w:rPr>
      </w:pPr>
    </w:p>
    <w:tbl>
      <w:tblPr>
        <w:tblW w:w="99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3"/>
        <w:gridCol w:w="5029"/>
        <w:gridCol w:w="1418"/>
        <w:gridCol w:w="1417"/>
        <w:gridCol w:w="1435"/>
      </w:tblGrid>
      <w:tr w:rsidR="005D72CF" w:rsidRPr="005D72CF" w:rsidTr="002F05ED">
        <w:trPr>
          <w:trHeight w:val="405"/>
          <w:jc w:val="center"/>
        </w:trPr>
        <w:tc>
          <w:tcPr>
            <w:tcW w:w="633" w:type="dxa"/>
            <w:vMerge w:val="restart"/>
          </w:tcPr>
          <w:p w:rsidR="002F05ED" w:rsidRPr="005D72CF" w:rsidRDefault="002F05ED" w:rsidP="002F05ED">
            <w:pPr>
              <w:spacing w:before="120"/>
              <w:jc w:val="both"/>
              <w:rPr>
                <w:rFonts w:ascii="Times New Roman" w:hAnsi="Times New Roman" w:cs="Times New Roman"/>
                <w:color w:val="auto"/>
                <w:sz w:val="22"/>
                <w:szCs w:val="22"/>
              </w:rPr>
            </w:pPr>
            <w:proofErr w:type="spellStart"/>
            <w:r w:rsidRPr="005D72CF">
              <w:rPr>
                <w:rFonts w:ascii="Times New Roman" w:hAnsi="Times New Roman" w:cs="Times New Roman"/>
                <w:color w:val="auto"/>
                <w:sz w:val="22"/>
                <w:szCs w:val="22"/>
              </w:rPr>
              <w:t>Rbr</w:t>
            </w:r>
            <w:proofErr w:type="spellEnd"/>
            <w:r w:rsidRPr="005D72CF">
              <w:rPr>
                <w:rFonts w:ascii="Times New Roman" w:hAnsi="Times New Roman" w:cs="Times New Roman"/>
                <w:color w:val="auto"/>
                <w:sz w:val="22"/>
                <w:szCs w:val="22"/>
              </w:rPr>
              <w:t>.</w:t>
            </w:r>
          </w:p>
        </w:tc>
        <w:tc>
          <w:tcPr>
            <w:tcW w:w="5029" w:type="dxa"/>
            <w:vMerge w:val="restart"/>
          </w:tcPr>
          <w:p w:rsidR="002F05ED" w:rsidRPr="005D72CF" w:rsidRDefault="002F05ED" w:rsidP="002F05ED">
            <w:pPr>
              <w:spacing w:before="120"/>
              <w:jc w:val="both"/>
              <w:rPr>
                <w:rFonts w:ascii="Times New Roman" w:hAnsi="Times New Roman" w:cs="Times New Roman"/>
                <w:b/>
                <w:color w:val="auto"/>
                <w:sz w:val="22"/>
                <w:szCs w:val="22"/>
              </w:rPr>
            </w:pPr>
            <w:r w:rsidRPr="005D72CF">
              <w:rPr>
                <w:rFonts w:ascii="Times New Roman" w:hAnsi="Times New Roman" w:cs="Times New Roman"/>
                <w:b/>
                <w:color w:val="auto"/>
                <w:sz w:val="22"/>
                <w:szCs w:val="22"/>
              </w:rPr>
              <w:t>Aktivnosti/ operacije</w:t>
            </w:r>
          </w:p>
        </w:tc>
        <w:tc>
          <w:tcPr>
            <w:tcW w:w="4270" w:type="dxa"/>
            <w:gridSpan w:val="3"/>
          </w:tcPr>
          <w:p w:rsidR="002F05ED" w:rsidRPr="005D72CF" w:rsidRDefault="002F05ED" w:rsidP="002F05ED">
            <w:pPr>
              <w:spacing w:before="120"/>
              <w:jc w:val="center"/>
              <w:rPr>
                <w:rFonts w:ascii="Times New Roman" w:hAnsi="Times New Roman" w:cs="Times New Roman"/>
                <w:b/>
                <w:color w:val="auto"/>
                <w:sz w:val="22"/>
                <w:szCs w:val="22"/>
              </w:rPr>
            </w:pPr>
            <w:r w:rsidRPr="005D72CF">
              <w:rPr>
                <w:rFonts w:ascii="Times New Roman" w:hAnsi="Times New Roman" w:cs="Times New Roman"/>
                <w:b/>
                <w:color w:val="auto"/>
                <w:sz w:val="22"/>
                <w:szCs w:val="22"/>
              </w:rPr>
              <w:t xml:space="preserve">Standardna veličina jediničnog troška* </w:t>
            </w:r>
          </w:p>
          <w:p w:rsidR="002F05ED" w:rsidRPr="005D72CF" w:rsidRDefault="002F05ED" w:rsidP="002F05ED">
            <w:pPr>
              <w:spacing w:before="120"/>
              <w:jc w:val="center"/>
              <w:rPr>
                <w:rFonts w:ascii="Times New Roman" w:hAnsi="Times New Roman" w:cs="Times New Roman"/>
                <w:b/>
                <w:color w:val="auto"/>
                <w:sz w:val="22"/>
                <w:szCs w:val="22"/>
              </w:rPr>
            </w:pPr>
            <w:r w:rsidRPr="005D72CF">
              <w:rPr>
                <w:rFonts w:ascii="Times New Roman" w:hAnsi="Times New Roman" w:cs="Times New Roman"/>
                <w:color w:val="auto"/>
                <w:sz w:val="22"/>
                <w:szCs w:val="22"/>
              </w:rPr>
              <w:t>EUR /ha</w:t>
            </w:r>
          </w:p>
        </w:tc>
      </w:tr>
      <w:tr w:rsidR="005D72CF" w:rsidRPr="005D72CF" w:rsidTr="002F05ED">
        <w:trPr>
          <w:trHeight w:val="514"/>
          <w:jc w:val="center"/>
        </w:trPr>
        <w:tc>
          <w:tcPr>
            <w:tcW w:w="633" w:type="dxa"/>
            <w:vMerge/>
          </w:tcPr>
          <w:p w:rsidR="002F05ED" w:rsidRPr="005D72CF" w:rsidRDefault="002F05ED" w:rsidP="002F05ED">
            <w:pPr>
              <w:spacing w:before="120"/>
              <w:jc w:val="both"/>
              <w:rPr>
                <w:rFonts w:ascii="Times New Roman" w:hAnsi="Times New Roman" w:cs="Times New Roman"/>
                <w:color w:val="auto"/>
                <w:sz w:val="22"/>
                <w:szCs w:val="22"/>
              </w:rPr>
            </w:pPr>
          </w:p>
        </w:tc>
        <w:tc>
          <w:tcPr>
            <w:tcW w:w="5029" w:type="dxa"/>
            <w:vMerge/>
          </w:tcPr>
          <w:p w:rsidR="002F05ED" w:rsidRPr="005D72CF" w:rsidRDefault="002F05ED" w:rsidP="002F05ED">
            <w:pPr>
              <w:spacing w:before="120"/>
              <w:jc w:val="both"/>
              <w:rPr>
                <w:rFonts w:ascii="Times New Roman" w:hAnsi="Times New Roman" w:cs="Times New Roman"/>
                <w:color w:val="auto"/>
                <w:sz w:val="22"/>
                <w:szCs w:val="22"/>
              </w:rPr>
            </w:pPr>
          </w:p>
        </w:tc>
        <w:tc>
          <w:tcPr>
            <w:tcW w:w="1418"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bez nagiba</w:t>
            </w:r>
          </w:p>
        </w:tc>
        <w:tc>
          <w:tcPr>
            <w:tcW w:w="1417"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na nagibu</w:t>
            </w:r>
          </w:p>
        </w:tc>
        <w:tc>
          <w:tcPr>
            <w:tcW w:w="1435"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na strmini</w:t>
            </w:r>
          </w:p>
        </w:tc>
      </w:tr>
      <w:tr w:rsidR="005D72CF" w:rsidRPr="005D72CF" w:rsidTr="002F05ED">
        <w:trPr>
          <w:trHeight w:val="688"/>
          <w:jc w:val="center"/>
        </w:trPr>
        <w:tc>
          <w:tcPr>
            <w:tcW w:w="633"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1.</w:t>
            </w:r>
          </w:p>
        </w:tc>
        <w:tc>
          <w:tcPr>
            <w:tcW w:w="9299" w:type="dxa"/>
            <w:gridSpan w:val="4"/>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Operacije vezane uz zamjenu (konverziju) sorte/sorata i/ili premještanje te promjena gustoće vinograda</w:t>
            </w:r>
          </w:p>
        </w:tc>
      </w:tr>
      <w:tr w:rsidR="005D72CF" w:rsidRPr="005D72CF" w:rsidTr="002F05ED">
        <w:trPr>
          <w:trHeight w:val="560"/>
          <w:jc w:val="center"/>
        </w:trPr>
        <w:tc>
          <w:tcPr>
            <w:tcW w:w="633"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1.1.</w:t>
            </w:r>
          </w:p>
        </w:tc>
        <w:tc>
          <w:tcPr>
            <w:tcW w:w="5029"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aktivnosti vezane uz krčenje vinograda koji se restrukturira</w:t>
            </w:r>
          </w:p>
        </w:tc>
        <w:tc>
          <w:tcPr>
            <w:tcW w:w="1418"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3.885</w:t>
            </w:r>
          </w:p>
        </w:tc>
        <w:tc>
          <w:tcPr>
            <w:tcW w:w="1417"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4.489</w:t>
            </w:r>
          </w:p>
        </w:tc>
        <w:tc>
          <w:tcPr>
            <w:tcW w:w="1435"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5.039</w:t>
            </w:r>
          </w:p>
        </w:tc>
      </w:tr>
      <w:tr w:rsidR="005D72CF" w:rsidRPr="005D72CF" w:rsidTr="002F05ED">
        <w:trPr>
          <w:trHeight w:val="753"/>
          <w:jc w:val="center"/>
        </w:trPr>
        <w:tc>
          <w:tcPr>
            <w:tcW w:w="633"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1.2.</w:t>
            </w:r>
          </w:p>
        </w:tc>
        <w:tc>
          <w:tcPr>
            <w:tcW w:w="5029"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aktivnosti vezane uz pripremu tla novog restrukturiranog vinograda</w:t>
            </w:r>
          </w:p>
        </w:tc>
        <w:tc>
          <w:tcPr>
            <w:tcW w:w="1418"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9.425</w:t>
            </w:r>
          </w:p>
        </w:tc>
        <w:tc>
          <w:tcPr>
            <w:tcW w:w="1417"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9.925</w:t>
            </w:r>
          </w:p>
        </w:tc>
        <w:tc>
          <w:tcPr>
            <w:tcW w:w="1435"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10.425</w:t>
            </w:r>
          </w:p>
        </w:tc>
      </w:tr>
      <w:tr w:rsidR="005D72CF" w:rsidRPr="005D72CF" w:rsidTr="002F05ED">
        <w:trPr>
          <w:trHeight w:val="849"/>
          <w:jc w:val="center"/>
        </w:trPr>
        <w:tc>
          <w:tcPr>
            <w:tcW w:w="633"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1.3.</w:t>
            </w:r>
          </w:p>
        </w:tc>
        <w:tc>
          <w:tcPr>
            <w:tcW w:w="5029"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aktivnosti vezane uz sadnju ili cijepljenje novog restrukturiranog vinograda</w:t>
            </w:r>
          </w:p>
        </w:tc>
        <w:tc>
          <w:tcPr>
            <w:tcW w:w="1418"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47.887</w:t>
            </w:r>
          </w:p>
        </w:tc>
        <w:tc>
          <w:tcPr>
            <w:tcW w:w="1417"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49.270</w:t>
            </w:r>
          </w:p>
        </w:tc>
        <w:tc>
          <w:tcPr>
            <w:tcW w:w="1435"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50.653</w:t>
            </w:r>
          </w:p>
        </w:tc>
      </w:tr>
      <w:tr w:rsidR="005D72CF" w:rsidRPr="005D72CF" w:rsidTr="002F05ED">
        <w:trPr>
          <w:trHeight w:val="671"/>
          <w:jc w:val="center"/>
        </w:trPr>
        <w:tc>
          <w:tcPr>
            <w:tcW w:w="633"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lastRenderedPageBreak/>
              <w:t>2.</w:t>
            </w:r>
          </w:p>
        </w:tc>
        <w:tc>
          <w:tcPr>
            <w:tcW w:w="9299" w:type="dxa"/>
            <w:gridSpan w:val="4"/>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Operacije prihvatljive u okviru poboljšanja vinogradarskih tehnika upravljanja vinogradom</w:t>
            </w:r>
          </w:p>
        </w:tc>
      </w:tr>
      <w:tr w:rsidR="005D72CF" w:rsidRPr="005D72CF" w:rsidTr="002F05ED">
        <w:trPr>
          <w:trHeight w:val="574"/>
          <w:jc w:val="center"/>
        </w:trPr>
        <w:tc>
          <w:tcPr>
            <w:tcW w:w="633"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2.1.</w:t>
            </w:r>
          </w:p>
        </w:tc>
        <w:tc>
          <w:tcPr>
            <w:tcW w:w="5029"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promjena nagiba/razine vinograda (ravnanje tla)</w:t>
            </w:r>
          </w:p>
        </w:tc>
        <w:tc>
          <w:tcPr>
            <w:tcW w:w="1418"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16.500</w:t>
            </w:r>
          </w:p>
        </w:tc>
        <w:tc>
          <w:tcPr>
            <w:tcW w:w="1417"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23.500</w:t>
            </w:r>
          </w:p>
        </w:tc>
        <w:tc>
          <w:tcPr>
            <w:tcW w:w="1435"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31.250</w:t>
            </w:r>
          </w:p>
        </w:tc>
      </w:tr>
      <w:tr w:rsidR="005D72CF" w:rsidRPr="005D72CF" w:rsidTr="002F05ED">
        <w:trPr>
          <w:trHeight w:val="540"/>
          <w:jc w:val="center"/>
        </w:trPr>
        <w:tc>
          <w:tcPr>
            <w:tcW w:w="633"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2.2.</w:t>
            </w:r>
          </w:p>
        </w:tc>
        <w:tc>
          <w:tcPr>
            <w:tcW w:w="5029"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 xml:space="preserve">izgradnja </w:t>
            </w:r>
            <w:proofErr w:type="spellStart"/>
            <w:r w:rsidRPr="005D72CF">
              <w:rPr>
                <w:rFonts w:ascii="Times New Roman" w:hAnsi="Times New Roman" w:cs="Times New Roman"/>
                <w:color w:val="auto"/>
                <w:sz w:val="22"/>
                <w:szCs w:val="22"/>
              </w:rPr>
              <w:t>antierozijskih</w:t>
            </w:r>
            <w:proofErr w:type="spellEnd"/>
            <w:r w:rsidRPr="005D72CF">
              <w:rPr>
                <w:rFonts w:ascii="Times New Roman" w:hAnsi="Times New Roman" w:cs="Times New Roman"/>
                <w:color w:val="auto"/>
                <w:sz w:val="22"/>
                <w:szCs w:val="22"/>
              </w:rPr>
              <w:t xml:space="preserve"> sustava </w:t>
            </w:r>
          </w:p>
        </w:tc>
        <w:tc>
          <w:tcPr>
            <w:tcW w:w="1418"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5.673</w:t>
            </w:r>
          </w:p>
        </w:tc>
        <w:tc>
          <w:tcPr>
            <w:tcW w:w="1417"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9.833</w:t>
            </w:r>
          </w:p>
        </w:tc>
        <w:tc>
          <w:tcPr>
            <w:tcW w:w="1435"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13.213</w:t>
            </w:r>
          </w:p>
        </w:tc>
      </w:tr>
      <w:tr w:rsidR="005D72CF" w:rsidRPr="005D72CF" w:rsidTr="002F05ED">
        <w:trPr>
          <w:trHeight w:val="548"/>
          <w:jc w:val="center"/>
        </w:trPr>
        <w:tc>
          <w:tcPr>
            <w:tcW w:w="633"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2.3.</w:t>
            </w:r>
          </w:p>
        </w:tc>
        <w:tc>
          <w:tcPr>
            <w:tcW w:w="5029"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izgradnja terasa i zidova</w:t>
            </w:r>
          </w:p>
        </w:tc>
        <w:tc>
          <w:tcPr>
            <w:tcW w:w="1418"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24.672</w:t>
            </w:r>
          </w:p>
        </w:tc>
        <w:tc>
          <w:tcPr>
            <w:tcW w:w="1417"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45.205</w:t>
            </w:r>
          </w:p>
        </w:tc>
        <w:tc>
          <w:tcPr>
            <w:tcW w:w="1435"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60.539</w:t>
            </w:r>
          </w:p>
        </w:tc>
      </w:tr>
      <w:tr w:rsidR="005D72CF" w:rsidRPr="005D72CF" w:rsidTr="002F05ED">
        <w:trPr>
          <w:trHeight w:val="570"/>
          <w:jc w:val="center"/>
        </w:trPr>
        <w:tc>
          <w:tcPr>
            <w:tcW w:w="633"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2.4.</w:t>
            </w:r>
          </w:p>
        </w:tc>
        <w:tc>
          <w:tcPr>
            <w:tcW w:w="5029" w:type="dxa"/>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uvođenje ili unaprjeđenje sustava navodnjavanja</w:t>
            </w:r>
          </w:p>
        </w:tc>
        <w:tc>
          <w:tcPr>
            <w:tcW w:w="1418"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7.087</w:t>
            </w:r>
          </w:p>
        </w:tc>
        <w:tc>
          <w:tcPr>
            <w:tcW w:w="1417"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9.700</w:t>
            </w:r>
          </w:p>
        </w:tc>
        <w:tc>
          <w:tcPr>
            <w:tcW w:w="1435" w:type="dxa"/>
          </w:tcPr>
          <w:p w:rsidR="002F05ED" w:rsidRPr="005D72CF" w:rsidRDefault="002F05ED" w:rsidP="002F05ED">
            <w:pPr>
              <w:spacing w:before="120"/>
              <w:jc w:val="center"/>
              <w:rPr>
                <w:rFonts w:ascii="Times New Roman" w:hAnsi="Times New Roman" w:cs="Times New Roman"/>
                <w:color w:val="auto"/>
                <w:sz w:val="22"/>
                <w:szCs w:val="22"/>
              </w:rPr>
            </w:pPr>
            <w:r w:rsidRPr="005D72CF">
              <w:rPr>
                <w:rFonts w:ascii="Times New Roman" w:hAnsi="Times New Roman" w:cs="Times New Roman"/>
                <w:color w:val="auto"/>
                <w:sz w:val="22"/>
                <w:szCs w:val="22"/>
              </w:rPr>
              <w:t>12.573</w:t>
            </w:r>
          </w:p>
        </w:tc>
      </w:tr>
      <w:tr w:rsidR="002F05ED" w:rsidRPr="005D72CF" w:rsidTr="002F05ED">
        <w:trPr>
          <w:trHeight w:val="570"/>
          <w:jc w:val="center"/>
        </w:trPr>
        <w:tc>
          <w:tcPr>
            <w:tcW w:w="9932" w:type="dxa"/>
            <w:gridSpan w:val="5"/>
          </w:tcPr>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i/>
                <w:color w:val="auto"/>
              </w:rPr>
              <w:t>*na temelju kalkulacija Uprave za stručnu podršku MP 2022.</w:t>
            </w:r>
          </w:p>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Napomena:</w:t>
            </w:r>
          </w:p>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»bez nagiba« smatra se teren na nagibu manjem od 16%</w:t>
            </w:r>
          </w:p>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»na nagibima« smatra se teren na nagibu od 16 do 26%</w:t>
            </w:r>
          </w:p>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»na strminama« smatra se teren na nagibu većem od 26%</w:t>
            </w:r>
          </w:p>
          <w:p w:rsidR="002F05ED" w:rsidRPr="005D72CF" w:rsidRDefault="002F05ED" w:rsidP="002F05ED">
            <w:pPr>
              <w:spacing w:before="120"/>
              <w:jc w:val="both"/>
              <w:rPr>
                <w:rFonts w:ascii="Times New Roman" w:hAnsi="Times New Roman" w:cs="Times New Roman"/>
                <w:color w:val="auto"/>
                <w:sz w:val="22"/>
                <w:szCs w:val="22"/>
              </w:rPr>
            </w:pPr>
            <w:r w:rsidRPr="005D72CF">
              <w:rPr>
                <w:rFonts w:ascii="Times New Roman" w:hAnsi="Times New Roman" w:cs="Times New Roman"/>
                <w:color w:val="auto"/>
                <w:sz w:val="22"/>
                <w:szCs w:val="22"/>
              </w:rPr>
              <w:t xml:space="preserve">Obrazloženje: Sadnjom vinograda na nagnutim terenima i na strminama smanjuje se rizik od oštećenja od mraza i povećava se </w:t>
            </w:r>
            <w:proofErr w:type="spellStart"/>
            <w:r w:rsidRPr="005D72CF">
              <w:rPr>
                <w:rFonts w:ascii="Times New Roman" w:hAnsi="Times New Roman" w:cs="Times New Roman"/>
                <w:color w:val="auto"/>
                <w:sz w:val="22"/>
                <w:szCs w:val="22"/>
              </w:rPr>
              <w:t>insolacija</w:t>
            </w:r>
            <w:proofErr w:type="spellEnd"/>
            <w:r w:rsidRPr="005D72CF">
              <w:rPr>
                <w:rFonts w:ascii="Times New Roman" w:hAnsi="Times New Roman" w:cs="Times New Roman"/>
                <w:color w:val="auto"/>
                <w:sz w:val="22"/>
                <w:szCs w:val="22"/>
              </w:rPr>
              <w:t xml:space="preserve"> površine, čime se utječe na kakvoću grožđa. Iz tog razloga, na nagnutim terenima (nagib 16%-26%) i strminama (nagib &gt;26%) daje se veći iznos potpore.</w:t>
            </w:r>
          </w:p>
        </w:tc>
      </w:tr>
    </w:tbl>
    <w:p w:rsidR="002F05ED" w:rsidRPr="005D72CF" w:rsidRDefault="002F05ED" w:rsidP="002F05ED">
      <w:pPr>
        <w:spacing w:before="120"/>
        <w:jc w:val="both"/>
        <w:rPr>
          <w:rFonts w:ascii="Times New Roman" w:hAnsi="Times New Roman" w:cs="Times New Roman"/>
          <w:i/>
          <w:color w:val="auto"/>
        </w:rPr>
      </w:pP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2. (a)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Kriteriji za određivanje prioriteta i povezano </w:t>
      </w:r>
      <w:proofErr w:type="spellStart"/>
      <w:r w:rsidRPr="005D72CF">
        <w:rPr>
          <w:rFonts w:ascii="Times New Roman" w:hAnsi="Times New Roman" w:cs="Times New Roman"/>
          <w:b/>
          <w:color w:val="auto"/>
          <w:szCs w:val="32"/>
        </w:rPr>
        <w:t>ponderiranje</w:t>
      </w:r>
      <w:proofErr w:type="spellEnd"/>
      <w:r w:rsidRPr="005D72CF">
        <w:rPr>
          <w:rFonts w:ascii="Times New Roman" w:hAnsi="Times New Roman" w:cs="Times New Roman"/>
          <w:b/>
          <w:color w:val="auto"/>
          <w:szCs w:val="32"/>
        </w:rPr>
        <w:t xml:space="preserve"> </w:t>
      </w:r>
      <w:bookmarkStart w:id="10" w:name="_Hlk92977152"/>
      <w:r w:rsidRPr="005D72CF">
        <w:rPr>
          <w:rFonts w:ascii="Times New Roman" w:hAnsi="Times New Roman" w:cs="Times New Roman"/>
          <w:b/>
          <w:color w:val="auto"/>
          <w:szCs w:val="32"/>
        </w:rPr>
        <w:t>odlomak iza naslova zamjenjuje se novim odlomkom koji glasi:</w:t>
      </w:r>
    </w:p>
    <w:bookmarkEnd w:id="10"/>
    <w:p w:rsidR="002F05ED" w:rsidRPr="005D72CF" w:rsidRDefault="002F05ED" w:rsidP="002F05ED">
      <w:pPr>
        <w:spacing w:before="120" w:after="120"/>
        <w:ind w:left="567"/>
        <w:jc w:val="both"/>
        <w:rPr>
          <w:rFonts w:ascii="Times New Roman" w:hAnsi="Times New Roman" w:cs="Times New Roman"/>
          <w:color w:val="auto"/>
        </w:rPr>
      </w:pPr>
    </w:p>
    <w:p w:rsidR="002F05ED" w:rsidRPr="005D72CF" w:rsidRDefault="002F05ED" w:rsidP="002F05ED">
      <w:pPr>
        <w:spacing w:before="120" w:after="120"/>
        <w:ind w:left="567"/>
        <w:jc w:val="both"/>
        <w:rPr>
          <w:rFonts w:ascii="Times New Roman" w:hAnsi="Times New Roman" w:cs="Times New Roman"/>
          <w:color w:val="auto"/>
        </w:rPr>
      </w:pPr>
      <w:r w:rsidRPr="005D72CF">
        <w:rPr>
          <w:rFonts w:ascii="Times New Roman" w:hAnsi="Times New Roman" w:cs="Times New Roman"/>
          <w:color w:val="auto"/>
        </w:rPr>
        <w:t>»Prioritetni kriteriji rangiranja objektivni su i ne diskriminirajući, a prednost se daje:</w:t>
      </w:r>
    </w:p>
    <w:p w:rsidR="002F05ED" w:rsidRPr="005D72CF" w:rsidRDefault="002F05ED" w:rsidP="002F05ED">
      <w:pPr>
        <w:numPr>
          <w:ilvl w:val="0"/>
          <w:numId w:val="3"/>
        </w:numPr>
        <w:spacing w:before="120" w:after="120"/>
        <w:ind w:left="993" w:hanging="567"/>
        <w:contextualSpacing/>
        <w:jc w:val="both"/>
        <w:rPr>
          <w:rFonts w:ascii="Times New Roman" w:hAnsi="Times New Roman" w:cs="Times New Roman"/>
          <w:color w:val="auto"/>
          <w:szCs w:val="20"/>
          <w:lang w:bidi="hr-HR"/>
        </w:rPr>
      </w:pPr>
      <w:r w:rsidRPr="005D72CF">
        <w:rPr>
          <w:rFonts w:ascii="Times New Roman" w:eastAsia="Calibri" w:hAnsi="Times New Roman" w:cs="Times New Roman"/>
          <w:color w:val="auto"/>
          <w:szCs w:val="20"/>
          <w:lang w:bidi="hr-HR"/>
        </w:rPr>
        <w:t>podnositelj prijave kojem nije odobrena potpora iz Nacionalnog programa</w:t>
      </w:r>
    </w:p>
    <w:p w:rsidR="002F05ED" w:rsidRPr="005D72CF" w:rsidRDefault="002F05ED" w:rsidP="002F05ED">
      <w:pPr>
        <w:numPr>
          <w:ilvl w:val="0"/>
          <w:numId w:val="3"/>
        </w:numPr>
        <w:spacing w:before="120" w:after="120"/>
        <w:ind w:left="993" w:hanging="567"/>
        <w:contextualSpacing/>
        <w:jc w:val="both"/>
        <w:rPr>
          <w:rFonts w:ascii="Times New Roman" w:hAnsi="Times New Roman" w:cs="Times New Roman"/>
          <w:color w:val="auto"/>
          <w:szCs w:val="20"/>
          <w:lang w:bidi="hr-HR"/>
        </w:rPr>
      </w:pPr>
      <w:r w:rsidRPr="005D72CF">
        <w:rPr>
          <w:rFonts w:ascii="Times New Roman" w:eastAsia="Calibri" w:hAnsi="Times New Roman" w:cs="Times New Roman"/>
          <w:color w:val="auto"/>
          <w:szCs w:val="20"/>
          <w:lang w:bidi="hr-HR"/>
        </w:rPr>
        <w:t>podnositelj prijave koji je u sustavu ekološke proizvodnje grožđa i/ili vina</w:t>
      </w:r>
    </w:p>
    <w:p w:rsidR="002F05ED" w:rsidRPr="005D72CF" w:rsidRDefault="002F05ED" w:rsidP="002F05ED">
      <w:pPr>
        <w:numPr>
          <w:ilvl w:val="0"/>
          <w:numId w:val="3"/>
        </w:numPr>
        <w:spacing w:before="120" w:after="120"/>
        <w:ind w:left="993" w:hanging="567"/>
        <w:contextualSpacing/>
        <w:jc w:val="both"/>
        <w:rPr>
          <w:rFonts w:ascii="Times New Roman" w:hAnsi="Times New Roman" w:cs="Times New Roman"/>
          <w:color w:val="auto"/>
          <w:szCs w:val="20"/>
          <w:lang w:bidi="hr-HR"/>
        </w:rPr>
      </w:pPr>
      <w:r w:rsidRPr="005D72CF">
        <w:rPr>
          <w:rFonts w:ascii="Times New Roman" w:eastAsia="Calibri" w:hAnsi="Times New Roman" w:cs="Times New Roman"/>
          <w:color w:val="auto"/>
          <w:szCs w:val="20"/>
          <w:lang w:bidi="hr-HR"/>
        </w:rPr>
        <w:t>mladi poljoprivrednik, odnosno osoba starija od 18 i mlađa od 40 godina (na dan podnošenja Prijave) koja posjeduje odgovarajuća stručna znanja i vještine te je po prvi put na poljoprivrednom gospodarstvu imenovana kao nositelj poljoprivrednog gospodarstva</w:t>
      </w:r>
    </w:p>
    <w:p w:rsidR="002F05ED" w:rsidRPr="005D72CF" w:rsidRDefault="002F05ED" w:rsidP="002F05ED">
      <w:pPr>
        <w:numPr>
          <w:ilvl w:val="0"/>
          <w:numId w:val="3"/>
        </w:numPr>
        <w:spacing w:before="120" w:after="120"/>
        <w:ind w:left="993" w:hanging="567"/>
        <w:contextualSpacing/>
        <w:jc w:val="both"/>
        <w:rPr>
          <w:rFonts w:ascii="Times New Roman" w:hAnsi="Times New Roman" w:cs="Times New Roman"/>
          <w:color w:val="auto"/>
          <w:szCs w:val="20"/>
          <w:lang w:bidi="hr-HR"/>
        </w:rPr>
      </w:pPr>
      <w:r w:rsidRPr="005D72CF">
        <w:rPr>
          <w:rFonts w:ascii="Times New Roman" w:eastAsia="Calibri" w:hAnsi="Times New Roman" w:cs="Times New Roman"/>
          <w:color w:val="auto"/>
          <w:szCs w:val="20"/>
          <w:lang w:bidi="hr-HR"/>
        </w:rPr>
        <w:t>premještanje vinograda na područja koja daju bolju kvalitetu grožđa (na nagibima)</w:t>
      </w:r>
    </w:p>
    <w:p w:rsidR="002F05ED" w:rsidRPr="005D72CF" w:rsidRDefault="002F05ED" w:rsidP="002F05ED">
      <w:pPr>
        <w:numPr>
          <w:ilvl w:val="0"/>
          <w:numId w:val="3"/>
        </w:numPr>
        <w:spacing w:before="120" w:after="120"/>
        <w:ind w:left="993" w:hanging="567"/>
        <w:contextualSpacing/>
        <w:jc w:val="both"/>
        <w:rPr>
          <w:rFonts w:ascii="Times New Roman" w:hAnsi="Times New Roman" w:cs="Times New Roman"/>
          <w:color w:val="auto"/>
          <w:szCs w:val="20"/>
          <w:lang w:bidi="hr-HR"/>
        </w:rPr>
      </w:pPr>
      <w:r w:rsidRPr="005D72CF">
        <w:rPr>
          <w:rFonts w:ascii="Times New Roman" w:eastAsia="Calibri" w:hAnsi="Times New Roman" w:cs="Times New Roman"/>
          <w:color w:val="auto"/>
          <w:szCs w:val="20"/>
          <w:lang w:bidi="hr-HR"/>
        </w:rPr>
        <w:t>ulaganje na područjima s prirodnim ili ostalim posebnim ograničenjima</w:t>
      </w:r>
    </w:p>
    <w:p w:rsidR="002F05ED" w:rsidRPr="005D72CF" w:rsidRDefault="002F05ED" w:rsidP="002F05ED">
      <w:pPr>
        <w:numPr>
          <w:ilvl w:val="0"/>
          <w:numId w:val="3"/>
        </w:numPr>
        <w:spacing w:before="120" w:after="120"/>
        <w:ind w:left="993" w:hanging="567"/>
        <w:contextualSpacing/>
        <w:jc w:val="both"/>
        <w:rPr>
          <w:rFonts w:ascii="Times New Roman" w:hAnsi="Times New Roman" w:cs="Times New Roman"/>
          <w:color w:val="auto"/>
          <w:szCs w:val="20"/>
          <w:lang w:bidi="hr-HR"/>
        </w:rPr>
      </w:pPr>
      <w:r w:rsidRPr="005D72CF">
        <w:rPr>
          <w:rFonts w:ascii="Times New Roman" w:hAnsi="Times New Roman" w:cs="Times New Roman"/>
          <w:color w:val="auto"/>
          <w:szCs w:val="20"/>
          <w:lang w:bidi="hr-HR"/>
        </w:rPr>
        <w:t>zamjena postojećeg sortimenta preporučenim autohtonim sortama ili ostalim preporučenim sortama</w:t>
      </w:r>
    </w:p>
    <w:p w:rsidR="002F05ED" w:rsidRPr="005D72CF" w:rsidRDefault="002F05ED" w:rsidP="002F05ED">
      <w:pPr>
        <w:numPr>
          <w:ilvl w:val="0"/>
          <w:numId w:val="3"/>
        </w:numPr>
        <w:spacing w:before="120" w:after="120"/>
        <w:ind w:left="993" w:hanging="567"/>
        <w:contextualSpacing/>
        <w:jc w:val="both"/>
        <w:rPr>
          <w:rFonts w:ascii="Times New Roman" w:hAnsi="Times New Roman" w:cs="Times New Roman"/>
          <w:color w:val="auto"/>
          <w:szCs w:val="20"/>
          <w:lang w:bidi="hr-HR"/>
        </w:rPr>
      </w:pPr>
      <w:r w:rsidRPr="005D72CF">
        <w:rPr>
          <w:rFonts w:ascii="Times New Roman" w:eastAsia="Calibri" w:hAnsi="Times New Roman" w:cs="Times New Roman"/>
          <w:color w:val="auto"/>
          <w:szCs w:val="20"/>
          <w:lang w:bidi="hr-HR"/>
        </w:rPr>
        <w:t>premještanje vinograda uvjetovano izgradnjom infrastrukture ili izmjenama prostornog plana.</w:t>
      </w:r>
      <w:r w:rsidRPr="005D72CF">
        <w:rPr>
          <w:rFonts w:ascii="Times New Roman" w:hAnsi="Times New Roman" w:cs="Times New Roman"/>
          <w:color w:val="auto"/>
          <w:szCs w:val="20"/>
          <w:lang w:bidi="hr-HR"/>
        </w:rPr>
        <w:t>«</w:t>
      </w:r>
    </w:p>
    <w:p w:rsidR="002F05ED" w:rsidRPr="005D72CF" w:rsidRDefault="002F05ED" w:rsidP="002F05ED">
      <w:pPr>
        <w:spacing w:before="120"/>
        <w:ind w:left="567"/>
        <w:jc w:val="both"/>
        <w:rPr>
          <w:rFonts w:ascii="Times New Roman" w:hAnsi="Times New Roman" w:cs="Times New Roman"/>
          <w:color w:val="auto"/>
        </w:rPr>
      </w:pPr>
    </w:p>
    <w:p w:rsidR="002F05ED" w:rsidRPr="005D72CF" w:rsidRDefault="002F05ED" w:rsidP="002F05ED">
      <w:pPr>
        <w:spacing w:before="120" w:after="120"/>
        <w:ind w:left="567"/>
        <w:jc w:val="both"/>
        <w:rPr>
          <w:rFonts w:ascii="Times New Roman" w:hAnsi="Times New Roman" w:cs="Times New Roman"/>
          <w:color w:val="auto"/>
        </w:rPr>
      </w:pPr>
      <w:bookmarkStart w:id="11" w:name="_Hlk92984347"/>
      <w:proofErr w:type="spellStart"/>
      <w:r w:rsidRPr="005D72CF">
        <w:rPr>
          <w:rFonts w:ascii="Times New Roman" w:hAnsi="Times New Roman" w:cs="Times New Roman"/>
          <w:color w:val="auto"/>
          <w:u w:val="single"/>
        </w:rPr>
        <w:t>Ponderiranje</w:t>
      </w:r>
      <w:proofErr w:type="spellEnd"/>
      <w:r w:rsidRPr="005D72CF">
        <w:rPr>
          <w:rFonts w:ascii="Times New Roman" w:hAnsi="Times New Roman" w:cs="Times New Roman"/>
          <w:color w:val="auto"/>
        </w:rPr>
        <w:t>:</w:t>
      </w:r>
    </w:p>
    <w:tbl>
      <w:tblPr>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3831"/>
        <w:gridCol w:w="1580"/>
        <w:gridCol w:w="1366"/>
        <w:gridCol w:w="1128"/>
      </w:tblGrid>
      <w:tr w:rsidR="005D72CF" w:rsidRPr="005D72CF" w:rsidTr="002F05ED">
        <w:trPr>
          <w:trHeight w:val="406"/>
          <w:jc w:val="center"/>
        </w:trPr>
        <w:tc>
          <w:tcPr>
            <w:tcW w:w="1061"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Br.</w:t>
            </w:r>
          </w:p>
        </w:tc>
        <w:tc>
          <w:tcPr>
            <w:tcW w:w="3831" w:type="dxa"/>
            <w:shd w:val="clear" w:color="auto" w:fill="auto"/>
          </w:tcPr>
          <w:p w:rsidR="002F05ED" w:rsidRPr="005D72CF" w:rsidRDefault="002F05ED" w:rsidP="002F05ED">
            <w:pPr>
              <w:spacing w:before="120"/>
              <w:jc w:val="center"/>
              <w:rPr>
                <w:rFonts w:ascii="Times New Roman" w:eastAsia="Calibri" w:hAnsi="Times New Roman" w:cs="Times New Roman"/>
                <w:b/>
                <w:color w:val="auto"/>
              </w:rPr>
            </w:pPr>
            <w:r w:rsidRPr="005D72CF">
              <w:rPr>
                <w:rFonts w:ascii="Times New Roman" w:eastAsia="Calibri" w:hAnsi="Times New Roman" w:cs="Times New Roman"/>
                <w:b/>
                <w:color w:val="auto"/>
              </w:rPr>
              <w:t>Prioritetni kriteriji</w:t>
            </w:r>
          </w:p>
        </w:tc>
        <w:tc>
          <w:tcPr>
            <w:tcW w:w="1580"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Broj bodova</w:t>
            </w:r>
          </w:p>
        </w:tc>
        <w:tc>
          <w:tcPr>
            <w:tcW w:w="1366"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Najviše</w:t>
            </w:r>
          </w:p>
        </w:tc>
        <w:tc>
          <w:tcPr>
            <w:tcW w:w="1128"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Postotak</w:t>
            </w:r>
          </w:p>
        </w:tc>
      </w:tr>
      <w:tr w:rsidR="005D72CF" w:rsidRPr="005D72CF" w:rsidTr="002F05ED">
        <w:trPr>
          <w:trHeight w:val="702"/>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t>1.</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t>Podnositelj prijave kojem nije odobrena potpora iz Nacionalnog programa</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5</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5</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25 %</w:t>
            </w:r>
          </w:p>
        </w:tc>
      </w:tr>
      <w:tr w:rsidR="005D72CF" w:rsidRPr="005D72CF" w:rsidTr="002F05ED">
        <w:trPr>
          <w:trHeight w:val="687"/>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lastRenderedPageBreak/>
              <w:t>2.</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t>Podnositelj prijave koji je u sustavu ekološke proizvodnje grožđa i/ili vina</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4</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20 %</w:t>
            </w:r>
          </w:p>
        </w:tc>
      </w:tr>
      <w:tr w:rsidR="005D72CF" w:rsidRPr="005D72CF" w:rsidTr="002F05ED">
        <w:trPr>
          <w:trHeight w:val="963"/>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3.</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Mladi poljoprivrednik, odnosno osoba starija od 18 i mlađa od 40 godina (na dan podnošenja Prijave) koja posjeduje odgovarajuća stručna znanja i vještine te je po prvi put na poljoprivrednom gospodarstvu imenovana kao nositelj poljoprivrednog gospodarstva</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3</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3</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15 %</w:t>
            </w:r>
          </w:p>
        </w:tc>
      </w:tr>
      <w:tr w:rsidR="005D72CF" w:rsidRPr="005D72CF" w:rsidTr="002F05ED">
        <w:trPr>
          <w:trHeight w:val="963"/>
          <w:jc w:val="center"/>
        </w:trPr>
        <w:tc>
          <w:tcPr>
            <w:tcW w:w="1061"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4.</w:t>
            </w:r>
          </w:p>
        </w:tc>
        <w:tc>
          <w:tcPr>
            <w:tcW w:w="3831" w:type="dxa"/>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t xml:space="preserve">Premještanje vinograda na područja koja daju bolju kvalitetu grožđa (na nagibima) </w:t>
            </w:r>
          </w:p>
        </w:tc>
        <w:tc>
          <w:tcPr>
            <w:tcW w:w="1580" w:type="dxa"/>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3</w:t>
            </w:r>
          </w:p>
        </w:tc>
        <w:tc>
          <w:tcPr>
            <w:tcW w:w="1366" w:type="dxa"/>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3</w:t>
            </w:r>
          </w:p>
        </w:tc>
        <w:tc>
          <w:tcPr>
            <w:tcW w:w="1128" w:type="dxa"/>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15 %</w:t>
            </w:r>
          </w:p>
        </w:tc>
      </w:tr>
      <w:tr w:rsidR="005D72CF" w:rsidRPr="005D72CF" w:rsidTr="002F05ED">
        <w:trPr>
          <w:trHeight w:val="687"/>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t>5.</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t>Ulaganje na područjima s prirodnim ili ostalim posebnim ograničenjima</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2</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2</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10 %</w:t>
            </w:r>
          </w:p>
        </w:tc>
      </w:tr>
      <w:tr w:rsidR="005D72CF" w:rsidRPr="005D72CF" w:rsidTr="002F05ED">
        <w:trPr>
          <w:trHeight w:val="788"/>
          <w:jc w:val="center"/>
        </w:trPr>
        <w:tc>
          <w:tcPr>
            <w:tcW w:w="1061" w:type="dxa"/>
            <w:vMerge w:val="restart"/>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6.</w:t>
            </w:r>
          </w:p>
        </w:tc>
        <w:tc>
          <w:tcPr>
            <w:tcW w:w="3831" w:type="dxa"/>
            <w:shd w:val="clear" w:color="auto" w:fill="auto"/>
          </w:tcPr>
          <w:p w:rsidR="002F05ED" w:rsidRPr="005D72CF" w:rsidRDefault="002F05ED" w:rsidP="002F05ED">
            <w:pPr>
              <w:jc w:val="both"/>
              <w:rPr>
                <w:rFonts w:ascii="Times New Roman" w:hAnsi="Times New Roman" w:cs="Times New Roman"/>
                <w:color w:val="auto"/>
              </w:rPr>
            </w:pPr>
            <w:r w:rsidRPr="005D72CF">
              <w:rPr>
                <w:rFonts w:ascii="Times New Roman" w:hAnsi="Times New Roman" w:cs="Times New Roman"/>
                <w:color w:val="auto"/>
              </w:rPr>
              <w:t xml:space="preserve">Zamjena postojećeg sortimenta preporučenim autohtonim sortama </w:t>
            </w:r>
          </w:p>
        </w:tc>
        <w:tc>
          <w:tcPr>
            <w:tcW w:w="1580" w:type="dxa"/>
            <w:shd w:val="clear" w:color="auto" w:fill="auto"/>
          </w:tcPr>
          <w:p w:rsidR="002F05ED" w:rsidRPr="005D72CF" w:rsidRDefault="002F05ED" w:rsidP="002F05ED">
            <w:pPr>
              <w:jc w:val="center"/>
              <w:rPr>
                <w:rFonts w:ascii="Times New Roman" w:hAnsi="Times New Roman" w:cs="Times New Roman"/>
                <w:color w:val="auto"/>
              </w:rPr>
            </w:pPr>
            <w:r w:rsidRPr="005D72CF">
              <w:rPr>
                <w:rFonts w:ascii="Times New Roman" w:hAnsi="Times New Roman" w:cs="Times New Roman"/>
                <w:color w:val="auto"/>
              </w:rPr>
              <w:t>2</w:t>
            </w:r>
          </w:p>
        </w:tc>
        <w:tc>
          <w:tcPr>
            <w:tcW w:w="1366" w:type="dxa"/>
            <w:vMerge w:val="restart"/>
            <w:shd w:val="clear" w:color="auto" w:fill="auto"/>
          </w:tcPr>
          <w:p w:rsidR="002F05ED" w:rsidRPr="005D72CF" w:rsidRDefault="002F05ED" w:rsidP="002F05ED">
            <w:pPr>
              <w:jc w:val="center"/>
              <w:rPr>
                <w:rFonts w:ascii="Times New Roman" w:hAnsi="Times New Roman" w:cs="Times New Roman"/>
                <w:color w:val="auto"/>
              </w:rPr>
            </w:pPr>
            <w:r w:rsidRPr="005D72CF">
              <w:rPr>
                <w:rFonts w:ascii="Times New Roman" w:hAnsi="Times New Roman" w:cs="Times New Roman"/>
                <w:color w:val="auto"/>
              </w:rPr>
              <w:t>2</w:t>
            </w:r>
          </w:p>
        </w:tc>
        <w:tc>
          <w:tcPr>
            <w:tcW w:w="1128" w:type="dxa"/>
            <w:vMerge w:val="restart"/>
            <w:shd w:val="clear" w:color="auto" w:fill="auto"/>
          </w:tcPr>
          <w:p w:rsidR="002F05ED" w:rsidRPr="005D72CF" w:rsidRDefault="002F05ED" w:rsidP="002F05ED">
            <w:pPr>
              <w:jc w:val="center"/>
              <w:rPr>
                <w:rFonts w:ascii="Times New Roman" w:hAnsi="Times New Roman" w:cs="Times New Roman"/>
                <w:color w:val="auto"/>
              </w:rPr>
            </w:pPr>
            <w:r w:rsidRPr="005D72CF">
              <w:rPr>
                <w:rFonts w:ascii="Times New Roman" w:hAnsi="Times New Roman" w:cs="Times New Roman"/>
                <w:color w:val="auto"/>
              </w:rPr>
              <w:t>10 %</w:t>
            </w:r>
          </w:p>
        </w:tc>
      </w:tr>
      <w:tr w:rsidR="005D72CF" w:rsidRPr="005D72CF" w:rsidTr="002F05ED">
        <w:trPr>
          <w:trHeight w:val="782"/>
          <w:jc w:val="center"/>
        </w:trPr>
        <w:tc>
          <w:tcPr>
            <w:tcW w:w="1061" w:type="dxa"/>
            <w:vMerge/>
            <w:shd w:val="clear" w:color="auto" w:fill="auto"/>
          </w:tcPr>
          <w:p w:rsidR="002F05ED" w:rsidRPr="005D72CF" w:rsidRDefault="002F05ED" w:rsidP="002F05ED">
            <w:pPr>
              <w:rPr>
                <w:rFonts w:ascii="Times New Roman" w:hAnsi="Times New Roman" w:cs="Times New Roman"/>
                <w:color w:val="auto"/>
              </w:rPr>
            </w:pPr>
          </w:p>
        </w:tc>
        <w:tc>
          <w:tcPr>
            <w:tcW w:w="3831" w:type="dxa"/>
            <w:shd w:val="clear" w:color="auto" w:fill="auto"/>
          </w:tcPr>
          <w:p w:rsidR="002F05ED" w:rsidRPr="005D72CF" w:rsidRDefault="002F05ED" w:rsidP="002F05ED">
            <w:pPr>
              <w:jc w:val="both"/>
              <w:rPr>
                <w:rFonts w:ascii="Times New Roman" w:hAnsi="Times New Roman" w:cs="Times New Roman"/>
                <w:color w:val="auto"/>
              </w:rPr>
            </w:pPr>
            <w:r w:rsidRPr="005D72CF">
              <w:rPr>
                <w:rFonts w:ascii="Times New Roman" w:hAnsi="Times New Roman" w:cs="Times New Roman"/>
                <w:color w:val="auto"/>
              </w:rPr>
              <w:t>Zamjena postojećeg sortimenta  ostalim preporučenim sortama</w:t>
            </w:r>
          </w:p>
        </w:tc>
        <w:tc>
          <w:tcPr>
            <w:tcW w:w="1580" w:type="dxa"/>
            <w:shd w:val="clear" w:color="auto" w:fill="auto"/>
          </w:tcPr>
          <w:p w:rsidR="002F05ED" w:rsidRPr="005D72CF" w:rsidRDefault="002F05ED" w:rsidP="002F05ED">
            <w:pPr>
              <w:jc w:val="center"/>
              <w:rPr>
                <w:rFonts w:ascii="Times New Roman" w:hAnsi="Times New Roman" w:cs="Times New Roman"/>
                <w:color w:val="auto"/>
              </w:rPr>
            </w:pPr>
            <w:r w:rsidRPr="005D72CF">
              <w:rPr>
                <w:rFonts w:ascii="Times New Roman" w:hAnsi="Times New Roman" w:cs="Times New Roman"/>
                <w:color w:val="auto"/>
              </w:rPr>
              <w:t>1</w:t>
            </w:r>
          </w:p>
        </w:tc>
        <w:tc>
          <w:tcPr>
            <w:tcW w:w="1366" w:type="dxa"/>
            <w:vMerge/>
            <w:shd w:val="clear" w:color="auto" w:fill="auto"/>
          </w:tcPr>
          <w:p w:rsidR="002F05ED" w:rsidRPr="005D72CF" w:rsidRDefault="002F05ED" w:rsidP="002F05ED">
            <w:pPr>
              <w:jc w:val="center"/>
              <w:rPr>
                <w:rFonts w:ascii="Times New Roman" w:hAnsi="Times New Roman" w:cs="Times New Roman"/>
                <w:color w:val="auto"/>
              </w:rPr>
            </w:pPr>
          </w:p>
        </w:tc>
        <w:tc>
          <w:tcPr>
            <w:tcW w:w="1128" w:type="dxa"/>
            <w:vMerge/>
            <w:shd w:val="clear" w:color="auto" w:fill="auto"/>
          </w:tcPr>
          <w:p w:rsidR="002F05ED" w:rsidRPr="005D72CF" w:rsidRDefault="002F05ED" w:rsidP="002F05ED">
            <w:pPr>
              <w:jc w:val="center"/>
              <w:rPr>
                <w:rFonts w:ascii="Times New Roman" w:hAnsi="Times New Roman" w:cs="Times New Roman"/>
                <w:color w:val="auto"/>
              </w:rPr>
            </w:pPr>
          </w:p>
        </w:tc>
      </w:tr>
      <w:tr w:rsidR="005D72CF" w:rsidRPr="005D72CF" w:rsidTr="002F05ED">
        <w:trPr>
          <w:trHeight w:val="963"/>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7.</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t>Premještanje vinograda uvjetovano izgradnjom infrastrukture ili izmjenama prostornog plana</w:t>
            </w:r>
          </w:p>
        </w:tc>
        <w:tc>
          <w:tcPr>
            <w:tcW w:w="1580"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1</w:t>
            </w:r>
          </w:p>
        </w:tc>
        <w:tc>
          <w:tcPr>
            <w:tcW w:w="136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1</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spacing w:before="120"/>
              <w:jc w:val="center"/>
              <w:rPr>
                <w:rFonts w:ascii="Times New Roman" w:eastAsia="Calibri" w:hAnsi="Times New Roman" w:cs="Times New Roman"/>
                <w:color w:val="auto"/>
              </w:rPr>
            </w:pPr>
            <w:r w:rsidRPr="005D72CF">
              <w:rPr>
                <w:rFonts w:ascii="Times New Roman" w:eastAsia="Calibri" w:hAnsi="Times New Roman" w:cs="Times New Roman"/>
                <w:color w:val="auto"/>
              </w:rPr>
              <w:t>5 %</w:t>
            </w:r>
          </w:p>
        </w:tc>
      </w:tr>
      <w:tr w:rsidR="005D72CF" w:rsidRPr="005D72CF" w:rsidTr="002F05ED">
        <w:trPr>
          <w:trHeight w:val="475"/>
          <w:jc w:val="center"/>
        </w:trPr>
        <w:tc>
          <w:tcPr>
            <w:tcW w:w="1061"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Ukupno</w:t>
            </w:r>
          </w:p>
        </w:tc>
        <w:tc>
          <w:tcPr>
            <w:tcW w:w="5411" w:type="dxa"/>
            <w:gridSpan w:val="2"/>
            <w:shd w:val="clear" w:color="auto" w:fill="auto"/>
          </w:tcPr>
          <w:p w:rsidR="002F05ED" w:rsidRPr="005D72CF" w:rsidRDefault="002F05ED" w:rsidP="002F05ED">
            <w:pPr>
              <w:spacing w:before="120"/>
              <w:jc w:val="both"/>
              <w:rPr>
                <w:rFonts w:ascii="Times New Roman" w:eastAsia="Calibri" w:hAnsi="Times New Roman" w:cs="Times New Roman"/>
                <w:b/>
                <w:color w:val="auto"/>
              </w:rPr>
            </w:pPr>
          </w:p>
        </w:tc>
        <w:tc>
          <w:tcPr>
            <w:tcW w:w="1366"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20</w:t>
            </w:r>
          </w:p>
        </w:tc>
        <w:tc>
          <w:tcPr>
            <w:tcW w:w="1128"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100 %</w:t>
            </w:r>
          </w:p>
        </w:tc>
      </w:tr>
      <w:tr w:rsidR="005D72CF" w:rsidRPr="005D72CF" w:rsidTr="002F05ED">
        <w:trPr>
          <w:trHeight w:val="475"/>
          <w:jc w:val="center"/>
        </w:trPr>
        <w:tc>
          <w:tcPr>
            <w:tcW w:w="8966" w:type="dxa"/>
            <w:gridSpan w:val="5"/>
            <w:shd w:val="clear" w:color="auto" w:fill="auto"/>
          </w:tcPr>
          <w:p w:rsidR="002F05ED" w:rsidRPr="005D72CF" w:rsidRDefault="002F05ED" w:rsidP="002F05ED">
            <w:pPr>
              <w:spacing w:before="120"/>
              <w:jc w:val="both"/>
              <w:rPr>
                <w:rFonts w:ascii="Times New Roman" w:hAnsi="Times New Roman" w:cs="Times New Roman"/>
                <w:color w:val="auto"/>
              </w:rPr>
            </w:pPr>
            <w:r w:rsidRPr="005D72CF">
              <w:rPr>
                <w:rFonts w:ascii="Times New Roman" w:hAnsi="Times New Roman" w:cs="Times New Roman"/>
                <w:color w:val="auto"/>
              </w:rPr>
              <w:t xml:space="preserve">Kriteriji su poredani prema prioritetu, a uvjeti za bodovanje će se detaljno urediti u pravilniku. </w:t>
            </w:r>
          </w:p>
          <w:p w:rsidR="002F05ED" w:rsidRPr="005D72CF" w:rsidRDefault="002F05ED" w:rsidP="002F05ED">
            <w:pPr>
              <w:rPr>
                <w:rFonts w:ascii="Times New Roman" w:hAnsi="Times New Roman" w:cs="Times New Roman"/>
                <w:color w:val="auto"/>
                <w:sz w:val="22"/>
                <w:szCs w:val="22"/>
              </w:rPr>
            </w:pPr>
            <w:r w:rsidRPr="005D72CF">
              <w:rPr>
                <w:rFonts w:ascii="Times New Roman" w:hAnsi="Times New Roman" w:cs="Times New Roman"/>
                <w:color w:val="auto"/>
              </w:rPr>
              <w:t>Agencija za plaćanja rangira Prijave prema ostvarenom broju bodova od najvećeg broja prioritetnih bodova padajućim redoslijedom do iskorištenja raspoloživih proračunskih sredstava. U slučaju prijava s jednakim brojem bodova prednost ima prijava koja ostvaruje više bodova u prioritetnom kriteriju.</w:t>
            </w:r>
          </w:p>
        </w:tc>
      </w:tr>
    </w:tbl>
    <w:p w:rsidR="002F05ED" w:rsidRPr="005D72CF" w:rsidRDefault="002F05ED" w:rsidP="002F05ED">
      <w:pPr>
        <w:spacing w:before="120"/>
        <w:ind w:left="567"/>
        <w:jc w:val="both"/>
        <w:rPr>
          <w:rFonts w:ascii="Times New Roman" w:hAnsi="Times New Roman" w:cs="Times New Roman"/>
          <w:color w:val="auto"/>
        </w:rPr>
      </w:pP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2. (a)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Postupak odabira riječi:</w:t>
      </w:r>
    </w:p>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sz w:val="23"/>
          <w:szCs w:val="23"/>
        </w:rPr>
        <w:t>»</w:t>
      </w:r>
      <w:r w:rsidRPr="005D72CF">
        <w:rPr>
          <w:rFonts w:ascii="Times New Roman" w:hAnsi="Times New Roman" w:cs="Times New Roman"/>
          <w:color w:val="auto"/>
        </w:rPr>
        <w:t>Agencija za plaćanja izdaje Odluke u roku od 90 dana od dana zaprimanja potpune prijave.« brišu se</w:t>
      </w:r>
    </w:p>
    <w:bookmarkEnd w:id="11"/>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6.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Opis predloženih mjera iza riječi koje glase:</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»Nakon proteka tog roka, primjenjuju se odredbe o intenzitetu potpore kako je utvrđeno u prethodnom odlomku ovog podnaslova s nazivom Opis predloženih mjera.« dodaju se riječi koje glase:</w:t>
      </w:r>
    </w:p>
    <w:p w:rsidR="002F05ED" w:rsidRPr="005D72CF" w:rsidRDefault="002F05ED" w:rsidP="002F05ED">
      <w:pPr>
        <w:spacing w:before="120"/>
        <w:ind w:left="426"/>
        <w:jc w:val="both"/>
        <w:rPr>
          <w:rFonts w:ascii="Times New Roman" w:hAnsi="Times New Roman" w:cs="Times New Roman"/>
          <w:color w:val="auto"/>
        </w:rPr>
      </w:pPr>
      <w:r w:rsidRPr="005D72CF">
        <w:rPr>
          <w:rFonts w:ascii="Times New Roman" w:hAnsi="Times New Roman" w:cs="Times New Roman"/>
          <w:color w:val="auto"/>
        </w:rPr>
        <w:t>»</w:t>
      </w:r>
      <w:r w:rsidRPr="005D72CF">
        <w:rPr>
          <w:rFonts w:ascii="Times New Roman" w:hAnsi="Times New Roman" w:cs="Times New Roman"/>
          <w:bCs/>
          <w:color w:val="auto"/>
          <w:szCs w:val="32"/>
        </w:rPr>
        <w:t>Za javne natječaje objavljene od 2022. godine m</w:t>
      </w:r>
      <w:r w:rsidRPr="005D72CF">
        <w:rPr>
          <w:rFonts w:ascii="Times New Roman" w:hAnsi="Times New Roman" w:cs="Times New Roman"/>
          <w:color w:val="auto"/>
        </w:rPr>
        <w:t>aksimalni iznos potpore po projektu iznosi:</w:t>
      </w:r>
    </w:p>
    <w:p w:rsidR="002F05ED" w:rsidRPr="005D72CF" w:rsidRDefault="002F05ED" w:rsidP="002F05ED">
      <w:pPr>
        <w:spacing w:before="120"/>
        <w:ind w:left="426"/>
        <w:jc w:val="both"/>
        <w:rPr>
          <w:rFonts w:ascii="Times New Roman" w:hAnsi="Times New Roman" w:cs="Times New Roman"/>
          <w:color w:val="auto"/>
        </w:rPr>
      </w:pPr>
      <w:r w:rsidRPr="005D72CF">
        <w:rPr>
          <w:rFonts w:ascii="Times New Roman" w:hAnsi="Times New Roman" w:cs="Times New Roman"/>
          <w:color w:val="auto"/>
        </w:rPr>
        <w:t>- EUR 1.500.000 za mikro, mala i srednja poduzeća</w:t>
      </w:r>
    </w:p>
    <w:p w:rsidR="002F05ED" w:rsidRPr="005D72CF" w:rsidRDefault="002F05ED" w:rsidP="002F05ED">
      <w:pPr>
        <w:spacing w:before="120"/>
        <w:ind w:left="426"/>
        <w:jc w:val="both"/>
        <w:rPr>
          <w:rFonts w:ascii="Times New Roman" w:hAnsi="Times New Roman" w:cs="Times New Roman"/>
          <w:color w:val="auto"/>
        </w:rPr>
      </w:pPr>
      <w:r w:rsidRPr="005D72CF">
        <w:rPr>
          <w:rFonts w:ascii="Times New Roman" w:hAnsi="Times New Roman" w:cs="Times New Roman"/>
          <w:color w:val="auto"/>
        </w:rPr>
        <w:lastRenderedPageBreak/>
        <w:t xml:space="preserve">- EUR 750.000 za poduzeća s manje od 750 zaposlenih ili prometom manjim od EUR 200 </w:t>
      </w:r>
      <w:proofErr w:type="spellStart"/>
      <w:r w:rsidRPr="005D72CF">
        <w:rPr>
          <w:rFonts w:ascii="Times New Roman" w:hAnsi="Times New Roman" w:cs="Times New Roman"/>
          <w:color w:val="auto"/>
        </w:rPr>
        <w:t>mil</w:t>
      </w:r>
      <w:proofErr w:type="spellEnd"/>
      <w:r w:rsidRPr="005D72CF">
        <w:rPr>
          <w:rFonts w:ascii="Times New Roman" w:hAnsi="Times New Roman" w:cs="Times New Roman"/>
          <w:color w:val="auto"/>
        </w:rPr>
        <w:t xml:space="preserve">. </w:t>
      </w:r>
    </w:p>
    <w:p w:rsidR="002F05ED" w:rsidRPr="005D72CF" w:rsidRDefault="002F05ED" w:rsidP="002F05ED">
      <w:pPr>
        <w:spacing w:before="120"/>
        <w:ind w:left="426"/>
        <w:jc w:val="both"/>
        <w:rPr>
          <w:rFonts w:ascii="Times New Roman" w:hAnsi="Times New Roman" w:cs="Times New Roman"/>
          <w:color w:val="auto"/>
        </w:rPr>
      </w:pPr>
      <w:r w:rsidRPr="005D72CF">
        <w:rPr>
          <w:rFonts w:ascii="Times New Roman" w:hAnsi="Times New Roman" w:cs="Times New Roman"/>
          <w:color w:val="auto"/>
        </w:rPr>
        <w:t xml:space="preserve">- EUR 550.000 za poduzeća s 750 i više zaposlenih ili prometom od EUR 200 </w:t>
      </w:r>
      <w:proofErr w:type="spellStart"/>
      <w:r w:rsidRPr="005D72CF">
        <w:rPr>
          <w:rFonts w:ascii="Times New Roman" w:hAnsi="Times New Roman" w:cs="Times New Roman"/>
          <w:color w:val="auto"/>
        </w:rPr>
        <w:t>mil</w:t>
      </w:r>
      <w:proofErr w:type="spellEnd"/>
      <w:r w:rsidRPr="005D72CF">
        <w:rPr>
          <w:rFonts w:ascii="Times New Roman" w:hAnsi="Times New Roman" w:cs="Times New Roman"/>
          <w:color w:val="auto"/>
        </w:rPr>
        <w:t>. i više</w:t>
      </w:r>
    </w:p>
    <w:p w:rsidR="002F05ED" w:rsidRPr="005D72CF" w:rsidRDefault="002F05ED" w:rsidP="002F05ED">
      <w:pPr>
        <w:spacing w:before="120"/>
        <w:jc w:val="both"/>
        <w:rPr>
          <w:rFonts w:ascii="Times New Roman" w:hAnsi="Times New Roman" w:cs="Times New Roman"/>
          <w:color w:val="auto"/>
          <w:u w:val="single"/>
        </w:rPr>
      </w:pPr>
      <w:bookmarkStart w:id="12" w:name="_Toc527631773"/>
      <w:bookmarkStart w:id="13" w:name="_Toc527631855"/>
      <w:bookmarkStart w:id="14" w:name="_Toc527633397"/>
    </w:p>
    <w:p w:rsidR="002F05ED" w:rsidRPr="005D72CF" w:rsidRDefault="002F05ED" w:rsidP="002F05ED">
      <w:pPr>
        <w:spacing w:before="120"/>
        <w:ind w:left="426"/>
        <w:jc w:val="both"/>
        <w:rPr>
          <w:rFonts w:ascii="Times New Roman" w:hAnsi="Times New Roman" w:cs="Times New Roman"/>
          <w:color w:val="auto"/>
        </w:rPr>
      </w:pPr>
      <w:r w:rsidRPr="005D72CF">
        <w:rPr>
          <w:rFonts w:ascii="Times New Roman" w:hAnsi="Times New Roman" w:cs="Times New Roman"/>
          <w:bCs/>
          <w:color w:val="auto"/>
          <w:szCs w:val="32"/>
        </w:rPr>
        <w:t>Za javne natječaje objavljene od 2022. godine i</w:t>
      </w:r>
      <w:r w:rsidRPr="005D72CF">
        <w:rPr>
          <w:rFonts w:ascii="Times New Roman" w:hAnsi="Times New Roman" w:cs="Times New Roman"/>
          <w:color w:val="auto"/>
        </w:rPr>
        <w:t>ntenzitet potpore:</w:t>
      </w:r>
      <w:bookmarkEnd w:id="12"/>
      <w:bookmarkEnd w:id="13"/>
      <w:bookmarkEnd w:id="14"/>
    </w:p>
    <w:p w:rsidR="002F05ED" w:rsidRPr="005D72CF" w:rsidRDefault="002F05ED" w:rsidP="002F05ED">
      <w:pPr>
        <w:spacing w:before="120"/>
        <w:ind w:left="426"/>
        <w:jc w:val="both"/>
        <w:rPr>
          <w:rFonts w:ascii="Times New Roman" w:hAnsi="Times New Roman" w:cs="Times New Roman"/>
          <w:color w:val="auto"/>
        </w:rPr>
      </w:pPr>
      <w:r w:rsidRPr="005D72CF">
        <w:rPr>
          <w:rFonts w:ascii="Times New Roman" w:hAnsi="Times New Roman" w:cs="Times New Roman"/>
          <w:color w:val="auto"/>
        </w:rPr>
        <w:t xml:space="preserve">- za mikro, mala i srednja poduzeća intenzitet potpore iznosi 50 % prihvatljivih troškova </w:t>
      </w:r>
    </w:p>
    <w:p w:rsidR="002F05ED" w:rsidRPr="005D72CF" w:rsidRDefault="002F05ED" w:rsidP="002F05ED">
      <w:pPr>
        <w:spacing w:before="120"/>
        <w:ind w:left="426"/>
        <w:jc w:val="both"/>
        <w:rPr>
          <w:rFonts w:ascii="Times New Roman" w:hAnsi="Times New Roman" w:cs="Times New Roman"/>
          <w:color w:val="auto"/>
        </w:rPr>
      </w:pPr>
      <w:r w:rsidRPr="005D72CF">
        <w:rPr>
          <w:rFonts w:ascii="Times New Roman" w:hAnsi="Times New Roman" w:cs="Times New Roman"/>
          <w:color w:val="auto"/>
        </w:rPr>
        <w:t xml:space="preserve">- za poduzeća s manje od 750 zaposlenih ili prometom manjim od EUR 200 </w:t>
      </w:r>
      <w:proofErr w:type="spellStart"/>
      <w:r w:rsidRPr="005D72CF">
        <w:rPr>
          <w:rFonts w:ascii="Times New Roman" w:hAnsi="Times New Roman" w:cs="Times New Roman"/>
          <w:color w:val="auto"/>
        </w:rPr>
        <w:t>mil</w:t>
      </w:r>
      <w:proofErr w:type="spellEnd"/>
      <w:r w:rsidRPr="005D72CF">
        <w:rPr>
          <w:rFonts w:ascii="Times New Roman" w:hAnsi="Times New Roman" w:cs="Times New Roman"/>
          <w:color w:val="auto"/>
        </w:rPr>
        <w:t>. potpora iznosi 25 % prihvatljivih troškova</w:t>
      </w:r>
      <w:bookmarkStart w:id="15" w:name="_Toc527631774"/>
      <w:bookmarkStart w:id="16" w:name="_Toc527631856"/>
      <w:bookmarkStart w:id="17" w:name="_Toc527633398"/>
    </w:p>
    <w:p w:rsidR="002F05ED" w:rsidRPr="005D72CF" w:rsidRDefault="002F05ED" w:rsidP="002F05ED">
      <w:pPr>
        <w:spacing w:before="120"/>
        <w:ind w:left="426"/>
        <w:jc w:val="both"/>
        <w:rPr>
          <w:rFonts w:ascii="Times New Roman" w:hAnsi="Times New Roman" w:cs="Times New Roman"/>
          <w:bCs/>
          <w:color w:val="auto"/>
          <w:szCs w:val="32"/>
        </w:rPr>
      </w:pPr>
      <w:r w:rsidRPr="005D72CF">
        <w:rPr>
          <w:rFonts w:ascii="Times New Roman" w:hAnsi="Times New Roman" w:cs="Times New Roman"/>
          <w:color w:val="auto"/>
        </w:rPr>
        <w:t xml:space="preserve">- za poduzeća s 750 i više zaposlenih ili prometom od EUR 200 </w:t>
      </w:r>
      <w:proofErr w:type="spellStart"/>
      <w:r w:rsidRPr="005D72CF">
        <w:rPr>
          <w:rFonts w:ascii="Times New Roman" w:hAnsi="Times New Roman" w:cs="Times New Roman"/>
          <w:color w:val="auto"/>
        </w:rPr>
        <w:t>mil</w:t>
      </w:r>
      <w:proofErr w:type="spellEnd"/>
      <w:r w:rsidRPr="005D72CF">
        <w:rPr>
          <w:rFonts w:ascii="Times New Roman" w:hAnsi="Times New Roman" w:cs="Times New Roman"/>
          <w:color w:val="auto"/>
        </w:rPr>
        <w:t>. i više s intenzitet potpore iznosi 24% prihvatljivih troškova.</w:t>
      </w:r>
      <w:bookmarkEnd w:id="15"/>
      <w:bookmarkEnd w:id="16"/>
      <w:bookmarkEnd w:id="17"/>
      <w:r w:rsidRPr="005D72CF">
        <w:rPr>
          <w:rFonts w:ascii="Times New Roman" w:hAnsi="Times New Roman" w:cs="Times New Roman"/>
          <w:color w:val="auto"/>
        </w:rPr>
        <w:t>«</w:t>
      </w:r>
      <w:r w:rsidRPr="005D72CF">
        <w:rPr>
          <w:rFonts w:ascii="Times New Roman" w:hAnsi="Times New Roman" w:cs="Times New Roman"/>
          <w:bCs/>
          <w:color w:val="auto"/>
          <w:szCs w:val="32"/>
        </w:rPr>
        <w:t xml:space="preserve"> </w:t>
      </w:r>
    </w:p>
    <w:p w:rsidR="002F05ED" w:rsidRPr="005D72CF" w:rsidRDefault="002F05ED" w:rsidP="002F05ED">
      <w:pPr>
        <w:spacing w:before="120"/>
        <w:ind w:left="426"/>
        <w:jc w:val="both"/>
        <w:rPr>
          <w:rFonts w:ascii="Times New Roman" w:hAnsi="Times New Roman" w:cs="Times New Roman"/>
          <w:bCs/>
          <w:color w:val="auto"/>
          <w:szCs w:val="32"/>
        </w:rPr>
      </w:pP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6.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Postupak prijave riječi:</w:t>
      </w:r>
    </w:p>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sz w:val="23"/>
          <w:szCs w:val="23"/>
        </w:rPr>
        <w:t>»</w:t>
      </w:r>
      <w:r w:rsidRPr="005D72CF">
        <w:rPr>
          <w:rFonts w:ascii="Times New Roman" w:hAnsi="Times New Roman" w:cs="Times New Roman"/>
          <w:color w:val="auto"/>
        </w:rPr>
        <w:t>Navedene Odluke Agencija za plaćanja izdaje u roku od 60 dana od dana zaprimanja potpunog zahtjeva za odobrenje izmjena« brišu se</w:t>
      </w: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6. </w:t>
      </w:r>
      <w:proofErr w:type="spellStart"/>
      <w:r w:rsidRPr="005D72CF">
        <w:rPr>
          <w:rFonts w:ascii="Times New Roman" w:hAnsi="Times New Roman" w:cs="Times New Roman"/>
          <w:b/>
          <w:color w:val="auto"/>
          <w:szCs w:val="32"/>
        </w:rPr>
        <w:t>podpoglavlja</w:t>
      </w:r>
      <w:proofErr w:type="spellEnd"/>
      <w:r w:rsidRPr="005D72CF">
        <w:rPr>
          <w:rFonts w:ascii="Times New Roman" w:hAnsi="Times New Roman" w:cs="Times New Roman"/>
          <w:b/>
          <w:color w:val="auto"/>
          <w:szCs w:val="32"/>
        </w:rPr>
        <w:t xml:space="preserve"> s naslovom Administrativna kontrola prijava u pogledu razumnosti troškova treći odlomak mijenja se i glasi:</w:t>
      </w:r>
    </w:p>
    <w:p w:rsidR="002F05ED" w:rsidRPr="005D72CF" w:rsidRDefault="002F05ED" w:rsidP="002F05ED">
      <w:pPr>
        <w:spacing w:before="100" w:beforeAutospacing="1"/>
        <w:jc w:val="both"/>
        <w:rPr>
          <w:rFonts w:ascii="Times New Roman" w:hAnsi="Times New Roman" w:cs="Times New Roman"/>
          <w:color w:val="auto"/>
        </w:rPr>
      </w:pPr>
      <w:r w:rsidRPr="005D72CF">
        <w:rPr>
          <w:rFonts w:ascii="Times New Roman" w:hAnsi="Times New Roman" w:cs="Times New Roman"/>
          <w:color w:val="auto"/>
          <w:sz w:val="23"/>
          <w:szCs w:val="23"/>
        </w:rPr>
        <w:t>»</w:t>
      </w:r>
      <w:r w:rsidRPr="005D72CF">
        <w:rPr>
          <w:rFonts w:ascii="Times New Roman" w:hAnsi="Times New Roman" w:cs="Times New Roman"/>
          <w:color w:val="auto"/>
        </w:rPr>
        <w:t xml:space="preserve">Uzimajući u obzir prirodu same mjere Agencija za plaćanja će prilikom utvrđivanja razumnosti troškova koristiti metodu usporedbe različitih ponuda pri čemu mora voditi računa o: </w:t>
      </w:r>
    </w:p>
    <w:p w:rsidR="002F05ED" w:rsidRPr="005D72CF" w:rsidRDefault="002F05ED" w:rsidP="002F05ED">
      <w:pPr>
        <w:numPr>
          <w:ilvl w:val="0"/>
          <w:numId w:val="5"/>
        </w:numPr>
        <w:spacing w:before="100" w:beforeAutospacing="1"/>
        <w:jc w:val="both"/>
        <w:rPr>
          <w:rFonts w:ascii="Times New Roman" w:hAnsi="Times New Roman" w:cs="Times New Roman"/>
          <w:color w:val="auto"/>
        </w:rPr>
      </w:pPr>
      <w:r w:rsidRPr="005D72CF">
        <w:rPr>
          <w:rFonts w:ascii="Times New Roman" w:hAnsi="Times New Roman" w:cs="Times New Roman"/>
          <w:color w:val="auto"/>
        </w:rPr>
        <w:t>neovisnosti ponuda (ako se tijekom provjere ponuda utvrdi da su informacije dostavljene od strane podnositelja i/ili ponuditelja lažne ili pogrešne, da su cijene u dostavljenim ponudama namjerno uvećane, da postoji sukob interesa između Podnositelja i ponuditelja te sukob interesa između ponuditelja u istom ulaganju Agencija za plaćanja utvrditi će da takva ponuda ne udovoljava uvjetima. Podnositelj ne smije pribavljati ponude od ponuditelja roba, radova i/ili usluga, s kojima je u sukobu interesa, uključivo i ponuditeljeve podizvođače za robe i usluge koje on koristi u okviru projekta. Na ponudi mora biti navedeno da li u provedbi ulaganja sudjeluju podizvođači/</w:t>
      </w:r>
      <w:proofErr w:type="spellStart"/>
      <w:r w:rsidRPr="005D72CF">
        <w:rPr>
          <w:rFonts w:ascii="Times New Roman" w:hAnsi="Times New Roman" w:cs="Times New Roman"/>
          <w:color w:val="auto"/>
        </w:rPr>
        <w:t>podugovaratelji</w:t>
      </w:r>
      <w:proofErr w:type="spellEnd"/>
      <w:r w:rsidRPr="005D72CF">
        <w:rPr>
          <w:rFonts w:ascii="Times New Roman" w:hAnsi="Times New Roman" w:cs="Times New Roman"/>
          <w:color w:val="auto"/>
        </w:rPr>
        <w:t>, ako sudjeluju, isti moraju biti navedeni na način da ih se može identificirati);</w:t>
      </w:r>
    </w:p>
    <w:p w:rsidR="002F05ED" w:rsidRPr="005D72CF" w:rsidRDefault="002F05ED" w:rsidP="002F05ED">
      <w:pPr>
        <w:numPr>
          <w:ilvl w:val="0"/>
          <w:numId w:val="5"/>
        </w:numPr>
        <w:spacing w:before="100" w:beforeAutospacing="1"/>
        <w:jc w:val="both"/>
        <w:rPr>
          <w:rFonts w:ascii="Times New Roman" w:hAnsi="Times New Roman" w:cs="Times New Roman"/>
          <w:color w:val="auto"/>
        </w:rPr>
      </w:pPr>
      <w:r w:rsidRPr="005D72CF">
        <w:rPr>
          <w:rFonts w:ascii="Times New Roman" w:hAnsi="Times New Roman" w:cs="Times New Roman"/>
          <w:color w:val="auto"/>
        </w:rPr>
        <w:t>mogućnosti usporedbe ponuda;</w:t>
      </w:r>
    </w:p>
    <w:p w:rsidR="002F05ED" w:rsidRPr="005D72CF" w:rsidRDefault="002F05ED" w:rsidP="002F05ED">
      <w:pPr>
        <w:numPr>
          <w:ilvl w:val="0"/>
          <w:numId w:val="5"/>
        </w:numPr>
        <w:spacing w:before="100" w:beforeAutospacing="1"/>
        <w:jc w:val="both"/>
        <w:rPr>
          <w:rFonts w:ascii="Times New Roman" w:hAnsi="Times New Roman" w:cs="Times New Roman"/>
          <w:color w:val="auto"/>
        </w:rPr>
      </w:pPr>
      <w:r w:rsidRPr="005D72CF">
        <w:rPr>
          <w:rFonts w:ascii="Times New Roman" w:hAnsi="Times New Roman" w:cs="Times New Roman"/>
          <w:color w:val="auto"/>
        </w:rPr>
        <w:t>važenju ponude na dan podnošenja prijave (ponude moraju biti realne i odražavati tržišne cijene te na njima trebaju biti jasno naznačeni troškovi u iznosima sa i bez PDV-a, ponude moraju biti detaljno specificirane, a iznos odabrane ponude mora biti jasno povezan s iznosom iz Plana aktivnosti);</w:t>
      </w:r>
    </w:p>
    <w:p w:rsidR="002F05ED" w:rsidRPr="005D72CF" w:rsidRDefault="002F05ED" w:rsidP="002F05ED">
      <w:pPr>
        <w:numPr>
          <w:ilvl w:val="0"/>
          <w:numId w:val="5"/>
        </w:numPr>
        <w:spacing w:before="100" w:beforeAutospacing="1"/>
        <w:jc w:val="both"/>
        <w:rPr>
          <w:rFonts w:ascii="Times New Roman" w:hAnsi="Times New Roman" w:cs="Times New Roman"/>
          <w:color w:val="auto"/>
        </w:rPr>
      </w:pPr>
      <w:r w:rsidRPr="005D72CF">
        <w:rPr>
          <w:rFonts w:ascii="Times New Roman" w:hAnsi="Times New Roman" w:cs="Times New Roman"/>
          <w:color w:val="auto"/>
        </w:rPr>
        <w:t>informacije dostavljene od strane podnositelja i/ili ponuditelja moraju biti istinite,</w:t>
      </w:r>
    </w:p>
    <w:p w:rsidR="002F05ED" w:rsidRPr="005D72CF" w:rsidRDefault="002F05ED" w:rsidP="002F05ED">
      <w:pPr>
        <w:numPr>
          <w:ilvl w:val="0"/>
          <w:numId w:val="5"/>
        </w:numPr>
        <w:spacing w:before="100" w:beforeAutospacing="1"/>
        <w:jc w:val="both"/>
        <w:rPr>
          <w:rFonts w:ascii="Times New Roman" w:hAnsi="Times New Roman" w:cs="Times New Roman"/>
          <w:color w:val="auto"/>
        </w:rPr>
      </w:pPr>
      <w:r w:rsidRPr="005D72CF">
        <w:rPr>
          <w:rFonts w:ascii="Times New Roman" w:hAnsi="Times New Roman" w:cs="Times New Roman"/>
          <w:color w:val="auto"/>
        </w:rPr>
        <w:t>cijene u dostavljenim ponudama ne smiju biti uvećane u odnosu na tržišne cijene,</w:t>
      </w:r>
    </w:p>
    <w:p w:rsidR="002F05ED" w:rsidRPr="005D72CF" w:rsidRDefault="002F05ED" w:rsidP="002F05ED">
      <w:pPr>
        <w:numPr>
          <w:ilvl w:val="0"/>
          <w:numId w:val="5"/>
        </w:numPr>
        <w:spacing w:before="100" w:beforeAutospacing="1"/>
        <w:jc w:val="both"/>
        <w:rPr>
          <w:rFonts w:ascii="Times New Roman" w:hAnsi="Times New Roman" w:cs="Times New Roman"/>
          <w:color w:val="auto"/>
        </w:rPr>
      </w:pPr>
      <w:r w:rsidRPr="005D72CF">
        <w:rPr>
          <w:rFonts w:ascii="Times New Roman" w:hAnsi="Times New Roman" w:cs="Times New Roman"/>
          <w:color w:val="auto"/>
        </w:rPr>
        <w:t>u dostavljenim ponudama ne smiju biti umjetno stvoreni uvjeti za dobivanje potpore.«</w:t>
      </w:r>
    </w:p>
    <w:p w:rsidR="002F05ED" w:rsidRPr="005D72CF" w:rsidRDefault="002F05ED" w:rsidP="002F05ED">
      <w:pPr>
        <w:rPr>
          <w:rFonts w:ascii="Times New Roman" w:hAnsi="Times New Roman" w:cs="Times New Roman"/>
          <w:b/>
          <w:color w:val="auto"/>
          <w:szCs w:val="32"/>
        </w:rPr>
      </w:pP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6. </w:t>
      </w:r>
      <w:proofErr w:type="spellStart"/>
      <w:r w:rsidRPr="005D72CF">
        <w:rPr>
          <w:rFonts w:ascii="Times New Roman" w:hAnsi="Times New Roman" w:cs="Times New Roman"/>
          <w:b/>
          <w:color w:val="auto"/>
          <w:szCs w:val="32"/>
        </w:rPr>
        <w:t>podpoglavlja</w:t>
      </w:r>
      <w:proofErr w:type="spellEnd"/>
      <w:r w:rsidRPr="005D72CF">
        <w:rPr>
          <w:rFonts w:ascii="Times New Roman" w:hAnsi="Times New Roman" w:cs="Times New Roman"/>
          <w:b/>
          <w:color w:val="auto"/>
          <w:szCs w:val="32"/>
        </w:rPr>
        <w:t xml:space="preserve"> s naslovima Administrativna kontrola prijava u pogledu razumnosti troškova</w:t>
      </w:r>
      <w:r w:rsidRPr="005D72CF" w:rsidDel="006717A1">
        <w:rPr>
          <w:rFonts w:ascii="Times New Roman" w:hAnsi="Times New Roman" w:cs="Times New Roman"/>
          <w:b/>
          <w:color w:val="auto"/>
          <w:szCs w:val="32"/>
        </w:rPr>
        <w:t xml:space="preserve"> </w:t>
      </w:r>
      <w:r w:rsidRPr="005D72CF">
        <w:rPr>
          <w:rFonts w:ascii="Times New Roman" w:hAnsi="Times New Roman" w:cs="Times New Roman"/>
          <w:b/>
          <w:color w:val="auto"/>
          <w:szCs w:val="32"/>
        </w:rPr>
        <w:t>i Referentni troškovi (cijene) brišu se.</w:t>
      </w:r>
    </w:p>
    <w:p w:rsidR="002F05ED" w:rsidRPr="005D72CF" w:rsidRDefault="002F05ED" w:rsidP="002F05ED">
      <w:pPr>
        <w:rPr>
          <w:rFonts w:ascii="Times New Roman" w:hAnsi="Times New Roman" w:cs="Times New Roman"/>
          <w:b/>
          <w:color w:val="auto"/>
        </w:rPr>
      </w:pP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lastRenderedPageBreak/>
        <w:t xml:space="preserve">U dijelu A točki 6.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Kriteriji za određivanje prioriteta i povezano </w:t>
      </w:r>
      <w:proofErr w:type="spellStart"/>
      <w:r w:rsidRPr="005D72CF">
        <w:rPr>
          <w:rFonts w:ascii="Times New Roman" w:hAnsi="Times New Roman" w:cs="Times New Roman"/>
          <w:b/>
          <w:color w:val="auto"/>
          <w:szCs w:val="32"/>
        </w:rPr>
        <w:t>ponderiranje</w:t>
      </w:r>
      <w:proofErr w:type="spellEnd"/>
      <w:r w:rsidRPr="005D72CF">
        <w:rPr>
          <w:rFonts w:ascii="Times New Roman" w:hAnsi="Times New Roman" w:cs="Times New Roman"/>
          <w:b/>
          <w:color w:val="auto"/>
          <w:szCs w:val="32"/>
        </w:rPr>
        <w:t xml:space="preserve"> odlomak iza naslova zamjenjuje se novim odlomkom koji glasi:</w:t>
      </w:r>
    </w:p>
    <w:p w:rsidR="002F05ED" w:rsidRPr="005D72CF" w:rsidRDefault="002F05ED" w:rsidP="002F05ED">
      <w:pPr>
        <w:jc w:val="both"/>
        <w:rPr>
          <w:rFonts w:ascii="Times New Roman" w:hAnsi="Times New Roman" w:cs="Times New Roman"/>
          <w:color w:val="auto"/>
        </w:rPr>
      </w:pPr>
    </w:p>
    <w:p w:rsidR="002F05ED" w:rsidRPr="005D72CF" w:rsidRDefault="002F05ED" w:rsidP="002F05ED">
      <w:pPr>
        <w:spacing w:before="120" w:after="120"/>
        <w:jc w:val="both"/>
        <w:rPr>
          <w:rFonts w:ascii="Times New Roman" w:hAnsi="Times New Roman" w:cs="Times New Roman"/>
          <w:color w:val="auto"/>
        </w:rPr>
      </w:pPr>
      <w:r w:rsidRPr="005D72CF">
        <w:rPr>
          <w:rFonts w:ascii="Times New Roman" w:hAnsi="Times New Roman" w:cs="Times New Roman"/>
          <w:color w:val="auto"/>
          <w:sz w:val="23"/>
          <w:szCs w:val="23"/>
        </w:rPr>
        <w:t>»</w:t>
      </w:r>
      <w:r w:rsidRPr="005D72CF">
        <w:rPr>
          <w:rFonts w:ascii="Times New Roman" w:hAnsi="Times New Roman" w:cs="Times New Roman"/>
          <w:color w:val="auto"/>
        </w:rPr>
        <w:t>U ocjeni zahtjeva Agencija za plaćanja utvrđuje prioritete, a prednost se daje operacijama koje imaju pozitivne učinke u smislu ušteda energije, globalne energetske učinkovitosti i ekološki održivih postupaka.</w:t>
      </w:r>
    </w:p>
    <w:p w:rsidR="002F05ED" w:rsidRPr="005D72CF" w:rsidRDefault="002F05ED" w:rsidP="002F05ED">
      <w:pPr>
        <w:spacing w:before="120" w:after="120"/>
        <w:jc w:val="both"/>
        <w:rPr>
          <w:rFonts w:ascii="Times New Roman" w:hAnsi="Times New Roman" w:cs="Times New Roman"/>
          <w:color w:val="auto"/>
        </w:rPr>
      </w:pPr>
      <w:r w:rsidRPr="005D72CF">
        <w:rPr>
          <w:rFonts w:ascii="Times New Roman" w:hAnsi="Times New Roman" w:cs="Times New Roman"/>
          <w:color w:val="auto"/>
        </w:rPr>
        <w:t xml:space="preserve">Prioritetni kriteriji moraju biti objektivni i </w:t>
      </w:r>
      <w:proofErr w:type="spellStart"/>
      <w:r w:rsidRPr="005D72CF">
        <w:rPr>
          <w:rFonts w:ascii="Times New Roman" w:hAnsi="Times New Roman" w:cs="Times New Roman"/>
          <w:color w:val="auto"/>
        </w:rPr>
        <w:t>nediskriminirajući</w:t>
      </w:r>
      <w:proofErr w:type="spellEnd"/>
      <w:r w:rsidRPr="005D72CF">
        <w:rPr>
          <w:rFonts w:ascii="Times New Roman" w:hAnsi="Times New Roman" w:cs="Times New Roman"/>
          <w:color w:val="auto"/>
        </w:rPr>
        <w:t>, a prednost se daje:</w:t>
      </w:r>
    </w:p>
    <w:p w:rsidR="002F05ED" w:rsidRPr="005D72CF" w:rsidRDefault="002F05ED" w:rsidP="002F05ED">
      <w:pPr>
        <w:numPr>
          <w:ilvl w:val="0"/>
          <w:numId w:val="4"/>
        </w:numPr>
        <w:spacing w:before="120" w:after="120"/>
        <w:contextualSpacing/>
        <w:jc w:val="both"/>
        <w:rPr>
          <w:rFonts w:ascii="Times New Roman" w:hAnsi="Times New Roman" w:cs="Times New Roman"/>
          <w:color w:val="auto"/>
          <w:szCs w:val="20"/>
          <w:lang w:bidi="hr-HR"/>
        </w:rPr>
      </w:pPr>
      <w:r w:rsidRPr="005D72CF">
        <w:rPr>
          <w:rFonts w:ascii="Times New Roman" w:hAnsi="Times New Roman" w:cs="Times New Roman"/>
          <w:color w:val="auto"/>
          <w:lang w:bidi="hr-HR"/>
        </w:rPr>
        <w:t>podnositelj prijave kojem nije odobrena potpora iz Nacionalnog programa</w:t>
      </w:r>
    </w:p>
    <w:p w:rsidR="002F05ED" w:rsidRPr="005D72CF" w:rsidRDefault="002F05ED" w:rsidP="002F05ED">
      <w:pPr>
        <w:numPr>
          <w:ilvl w:val="0"/>
          <w:numId w:val="4"/>
        </w:numPr>
        <w:spacing w:before="120" w:after="120"/>
        <w:contextualSpacing/>
        <w:jc w:val="both"/>
        <w:rPr>
          <w:rFonts w:ascii="Times New Roman" w:hAnsi="Times New Roman" w:cs="Times New Roman"/>
          <w:color w:val="auto"/>
          <w:szCs w:val="20"/>
          <w:lang w:bidi="hr-HR"/>
        </w:rPr>
      </w:pPr>
      <w:r w:rsidRPr="005D72CF">
        <w:rPr>
          <w:rFonts w:ascii="Times New Roman" w:eastAsia="Calibri" w:hAnsi="Times New Roman" w:cs="Times New Roman"/>
          <w:color w:val="auto"/>
          <w:lang w:bidi="hr-HR"/>
        </w:rPr>
        <w:t>podnositelj prijave koji je u sustavu ekološke proizvodnje grožđa i/ili vina</w:t>
      </w:r>
    </w:p>
    <w:p w:rsidR="002F05ED" w:rsidRPr="005D72CF" w:rsidRDefault="002F05ED" w:rsidP="002F05ED">
      <w:pPr>
        <w:numPr>
          <w:ilvl w:val="0"/>
          <w:numId w:val="4"/>
        </w:numPr>
        <w:spacing w:before="120" w:after="120"/>
        <w:contextualSpacing/>
        <w:jc w:val="both"/>
        <w:rPr>
          <w:rFonts w:ascii="Times New Roman" w:hAnsi="Times New Roman" w:cs="Times New Roman"/>
          <w:color w:val="auto"/>
          <w:szCs w:val="20"/>
          <w:lang w:bidi="hr-HR"/>
        </w:rPr>
      </w:pPr>
      <w:r w:rsidRPr="005D72CF">
        <w:rPr>
          <w:rFonts w:ascii="Times New Roman" w:hAnsi="Times New Roman" w:cs="Times New Roman"/>
          <w:color w:val="auto"/>
          <w:szCs w:val="20"/>
          <w:lang w:bidi="hr-HR"/>
        </w:rPr>
        <w:t>mladi poljoprivrednik, odnosno osoba starija od 18 i mlađa od 40 godina (na dan podnošenja Prijave) koja posjeduje odgovarajuća stručna znanja i vještine te je po prvi put na poljoprivrednom gospodarstvu imenovana kao nositelj poljoprivrednog gospodarstva</w:t>
      </w:r>
    </w:p>
    <w:p w:rsidR="002F05ED" w:rsidRPr="005D72CF" w:rsidRDefault="002F05ED" w:rsidP="002F05ED">
      <w:pPr>
        <w:numPr>
          <w:ilvl w:val="0"/>
          <w:numId w:val="4"/>
        </w:numPr>
        <w:spacing w:before="120" w:after="120"/>
        <w:contextualSpacing/>
        <w:jc w:val="both"/>
        <w:rPr>
          <w:rFonts w:ascii="Times New Roman" w:hAnsi="Times New Roman" w:cs="Times New Roman"/>
          <w:color w:val="auto"/>
          <w:szCs w:val="20"/>
          <w:lang w:bidi="hr-HR"/>
        </w:rPr>
      </w:pPr>
      <w:r w:rsidRPr="005D72CF">
        <w:rPr>
          <w:rFonts w:ascii="Times New Roman" w:hAnsi="Times New Roman" w:cs="Times New Roman"/>
          <w:color w:val="auto"/>
          <w:szCs w:val="20"/>
          <w:lang w:bidi="hr-HR"/>
        </w:rPr>
        <w:t>podnositelji prijave koji su u sustavu proizvodnje grožđa i vina sa zaštićenom oznakom izvornosti</w:t>
      </w:r>
    </w:p>
    <w:p w:rsidR="002F05ED" w:rsidRPr="005D72CF" w:rsidRDefault="002F05ED" w:rsidP="002F05ED">
      <w:pPr>
        <w:numPr>
          <w:ilvl w:val="0"/>
          <w:numId w:val="4"/>
        </w:numPr>
        <w:spacing w:before="120" w:after="120"/>
        <w:contextualSpacing/>
        <w:jc w:val="both"/>
        <w:rPr>
          <w:rFonts w:ascii="Times New Roman" w:hAnsi="Times New Roman" w:cs="Times New Roman"/>
          <w:color w:val="auto"/>
          <w:szCs w:val="20"/>
          <w:lang w:bidi="hr-HR"/>
        </w:rPr>
      </w:pPr>
      <w:r w:rsidRPr="005D72CF">
        <w:rPr>
          <w:rFonts w:ascii="Times New Roman" w:hAnsi="Times New Roman" w:cs="Times New Roman"/>
          <w:color w:val="auto"/>
          <w:lang w:bidi="hr-HR"/>
        </w:rPr>
        <w:t>ulaganje na područjima s prirodnim ili ostalim posebnim ograničenjima</w:t>
      </w:r>
    </w:p>
    <w:p w:rsidR="002F05ED" w:rsidRPr="005D72CF" w:rsidRDefault="002F05ED" w:rsidP="002F05ED">
      <w:pPr>
        <w:numPr>
          <w:ilvl w:val="0"/>
          <w:numId w:val="4"/>
        </w:numPr>
        <w:spacing w:before="120" w:after="120"/>
        <w:contextualSpacing/>
        <w:jc w:val="both"/>
        <w:rPr>
          <w:rFonts w:ascii="Times New Roman" w:hAnsi="Times New Roman" w:cs="Times New Roman"/>
          <w:color w:val="auto"/>
          <w:szCs w:val="20"/>
          <w:lang w:bidi="hr-HR"/>
        </w:rPr>
      </w:pPr>
      <w:r w:rsidRPr="005D72CF">
        <w:rPr>
          <w:rFonts w:ascii="Times New Roman" w:hAnsi="Times New Roman" w:cs="Times New Roman"/>
          <w:color w:val="auto"/>
          <w:lang w:bidi="hr-HR"/>
        </w:rPr>
        <w:t>operacije koje doprinose povećanju učinkovitosti u korištenju energije u poljoprivredi i preradi te doprinose promjeni energetskog razreda za dva i više razreda ili Operacije koje doprinose promjeni energetskog razreda za jedan razred ili kod izgradnje novog objekta prerade minimalno razreda B ili Operacije koje uvode ekološki održive postupke kod upravljanja sirovinama i/ili recikliranju otpada iz vinarije.</w:t>
      </w:r>
      <w:r w:rsidRPr="005D72CF">
        <w:rPr>
          <w:rFonts w:ascii="Times New Roman" w:hAnsi="Times New Roman" w:cs="Times New Roman"/>
          <w:color w:val="auto"/>
          <w:szCs w:val="20"/>
          <w:lang w:bidi="hr-HR"/>
        </w:rPr>
        <w:t>«</w:t>
      </w:r>
    </w:p>
    <w:p w:rsidR="002F05ED" w:rsidRPr="005D72CF" w:rsidRDefault="002F05ED" w:rsidP="002F05ED">
      <w:pPr>
        <w:spacing w:before="120" w:after="120"/>
        <w:ind w:left="786"/>
        <w:contextualSpacing/>
        <w:jc w:val="both"/>
        <w:rPr>
          <w:rFonts w:ascii="Times New Roman" w:hAnsi="Times New Roman" w:cs="Times New Roman"/>
          <w:color w:val="auto"/>
          <w:szCs w:val="20"/>
          <w:lang w:bidi="hr-HR"/>
        </w:rPr>
      </w:pPr>
    </w:p>
    <w:p w:rsidR="002F05ED" w:rsidRPr="005D72CF" w:rsidRDefault="002F05ED" w:rsidP="002F05ED">
      <w:pPr>
        <w:spacing w:before="120" w:after="120"/>
        <w:ind w:left="360"/>
        <w:rPr>
          <w:rFonts w:ascii="Times New Roman" w:hAnsi="Times New Roman" w:cs="Times New Roman"/>
          <w:color w:val="auto"/>
        </w:rPr>
      </w:pPr>
      <w:bookmarkStart w:id="18" w:name="_Hlk92978667"/>
      <w:proofErr w:type="spellStart"/>
      <w:r w:rsidRPr="005D72CF">
        <w:rPr>
          <w:rFonts w:ascii="Times New Roman" w:hAnsi="Times New Roman" w:cs="Times New Roman"/>
          <w:color w:val="auto"/>
        </w:rPr>
        <w:t>Ponderiranje</w:t>
      </w:r>
      <w:proofErr w:type="spellEnd"/>
      <w:r w:rsidRPr="005D72CF">
        <w:rPr>
          <w:rFonts w:ascii="Times New Roman" w:hAnsi="Times New Roman" w:cs="Times New Roman"/>
          <w:color w:val="auto"/>
        </w:rPr>
        <w:t>:</w:t>
      </w:r>
    </w:p>
    <w:tbl>
      <w:tblPr>
        <w:tblW w:w="88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819"/>
        <w:gridCol w:w="1496"/>
        <w:gridCol w:w="1367"/>
        <w:gridCol w:w="1110"/>
      </w:tblGrid>
      <w:tr w:rsidR="005D72CF" w:rsidRPr="005D72CF" w:rsidTr="002F05ED">
        <w:trPr>
          <w:trHeight w:val="300"/>
        </w:trPr>
        <w:tc>
          <w:tcPr>
            <w:tcW w:w="1044"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Br.</w:t>
            </w:r>
          </w:p>
        </w:tc>
        <w:tc>
          <w:tcPr>
            <w:tcW w:w="3819"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Prioritetni kriteriji</w:t>
            </w:r>
          </w:p>
        </w:tc>
        <w:tc>
          <w:tcPr>
            <w:tcW w:w="1496"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Broj bodova</w:t>
            </w:r>
          </w:p>
        </w:tc>
        <w:tc>
          <w:tcPr>
            <w:tcW w:w="1367"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Najviše</w:t>
            </w:r>
          </w:p>
        </w:tc>
        <w:tc>
          <w:tcPr>
            <w:tcW w:w="1110"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Postotak</w:t>
            </w:r>
          </w:p>
        </w:tc>
      </w:tr>
      <w:tr w:rsidR="005D72CF" w:rsidRPr="005D72CF" w:rsidTr="002F05ED">
        <w:trPr>
          <w:trHeight w:val="574"/>
        </w:trPr>
        <w:tc>
          <w:tcPr>
            <w:tcW w:w="1044"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1.</w:t>
            </w:r>
          </w:p>
        </w:tc>
        <w:tc>
          <w:tcPr>
            <w:tcW w:w="3819"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hAnsi="Times New Roman" w:cs="Times New Roman"/>
                <w:color w:val="auto"/>
              </w:rPr>
              <w:t>Podnositelj prijave kojem nije odobrena potpora iz Nacionalnog programa</w:t>
            </w:r>
          </w:p>
        </w:tc>
        <w:tc>
          <w:tcPr>
            <w:tcW w:w="1496"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5</w:t>
            </w:r>
          </w:p>
        </w:tc>
        <w:tc>
          <w:tcPr>
            <w:tcW w:w="1367"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5</w:t>
            </w:r>
          </w:p>
        </w:tc>
        <w:tc>
          <w:tcPr>
            <w:tcW w:w="1110" w:type="dxa"/>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t>25 %</w:t>
            </w:r>
          </w:p>
        </w:tc>
      </w:tr>
      <w:tr w:rsidR="005D72CF" w:rsidRPr="005D72CF" w:rsidTr="002F05ED">
        <w:trPr>
          <w:trHeight w:val="560"/>
        </w:trPr>
        <w:tc>
          <w:tcPr>
            <w:tcW w:w="1044"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2.</w:t>
            </w:r>
          </w:p>
        </w:tc>
        <w:tc>
          <w:tcPr>
            <w:tcW w:w="3819"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Podnositelji prijave koji su u sustavu ekološke proizvodnje grožđa i/ili vina</w:t>
            </w:r>
          </w:p>
        </w:tc>
        <w:tc>
          <w:tcPr>
            <w:tcW w:w="1496"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4</w:t>
            </w:r>
          </w:p>
        </w:tc>
        <w:tc>
          <w:tcPr>
            <w:tcW w:w="1367"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4</w:t>
            </w:r>
          </w:p>
        </w:tc>
        <w:tc>
          <w:tcPr>
            <w:tcW w:w="1110" w:type="dxa"/>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t>20%</w:t>
            </w:r>
          </w:p>
        </w:tc>
      </w:tr>
      <w:tr w:rsidR="005D72CF" w:rsidRPr="005D72CF" w:rsidTr="002F05ED">
        <w:trPr>
          <w:trHeight w:val="927"/>
        </w:trPr>
        <w:tc>
          <w:tcPr>
            <w:tcW w:w="1044"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3.</w:t>
            </w:r>
          </w:p>
        </w:tc>
        <w:tc>
          <w:tcPr>
            <w:tcW w:w="3819"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hAnsi="Times New Roman" w:cs="Times New Roman"/>
                <w:color w:val="auto"/>
              </w:rPr>
              <w:t>Mladi poljoprivrednik, odnosno osoba starija od 18 i mlađa od 40 godina (na dan podnošenja Prijave) koja posjeduje odgovarajuća stručna znanja i vještine te je po prvi put na poljoprivrednom gospodarstvu imenovana kao nositelj poljoprivrednog gospodarstva</w:t>
            </w:r>
          </w:p>
        </w:tc>
        <w:tc>
          <w:tcPr>
            <w:tcW w:w="1496"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3</w:t>
            </w:r>
          </w:p>
        </w:tc>
        <w:tc>
          <w:tcPr>
            <w:tcW w:w="1367"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3</w:t>
            </w:r>
          </w:p>
        </w:tc>
        <w:tc>
          <w:tcPr>
            <w:tcW w:w="1110" w:type="dxa"/>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t>15 %</w:t>
            </w:r>
          </w:p>
        </w:tc>
      </w:tr>
      <w:tr w:rsidR="005D72CF" w:rsidRPr="005D72CF" w:rsidTr="002F05ED">
        <w:trPr>
          <w:trHeight w:val="554"/>
        </w:trPr>
        <w:tc>
          <w:tcPr>
            <w:tcW w:w="1044"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4.</w:t>
            </w:r>
          </w:p>
        </w:tc>
        <w:tc>
          <w:tcPr>
            <w:tcW w:w="3819"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Podnositelji prijave koji su u sustavu proizvodnje grožđa i vina</w:t>
            </w:r>
            <w:r w:rsidRPr="005D72CF">
              <w:rPr>
                <w:rFonts w:ascii="Times New Roman" w:hAnsi="Times New Roman" w:cs="Times New Roman"/>
                <w:color w:val="auto"/>
              </w:rPr>
              <w:t xml:space="preserve"> sa zaštićenom oznakom izvornosti</w:t>
            </w:r>
          </w:p>
        </w:tc>
        <w:tc>
          <w:tcPr>
            <w:tcW w:w="1496"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3</w:t>
            </w:r>
          </w:p>
        </w:tc>
        <w:tc>
          <w:tcPr>
            <w:tcW w:w="1367"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3</w:t>
            </w:r>
          </w:p>
        </w:tc>
        <w:tc>
          <w:tcPr>
            <w:tcW w:w="1110" w:type="dxa"/>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t>15 %</w:t>
            </w:r>
          </w:p>
        </w:tc>
      </w:tr>
      <w:tr w:rsidR="005D72CF" w:rsidRPr="005D72CF" w:rsidTr="002F05ED">
        <w:trPr>
          <w:trHeight w:val="562"/>
        </w:trPr>
        <w:tc>
          <w:tcPr>
            <w:tcW w:w="1044"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5.</w:t>
            </w:r>
          </w:p>
        </w:tc>
        <w:tc>
          <w:tcPr>
            <w:tcW w:w="3819"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hAnsi="Times New Roman" w:cs="Times New Roman"/>
                <w:color w:val="auto"/>
              </w:rPr>
              <w:t>Ulaganje na područjima s prirodnim ili ostalim posebnim ograničenjima</w:t>
            </w:r>
          </w:p>
        </w:tc>
        <w:tc>
          <w:tcPr>
            <w:tcW w:w="1496"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2</w:t>
            </w:r>
          </w:p>
        </w:tc>
        <w:tc>
          <w:tcPr>
            <w:tcW w:w="1367"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2</w:t>
            </w:r>
          </w:p>
        </w:tc>
        <w:tc>
          <w:tcPr>
            <w:tcW w:w="1110" w:type="dxa"/>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t>10 %</w:t>
            </w:r>
          </w:p>
        </w:tc>
      </w:tr>
      <w:tr w:rsidR="005D72CF" w:rsidRPr="005D72CF" w:rsidTr="002F05ED">
        <w:trPr>
          <w:trHeight w:val="367"/>
        </w:trPr>
        <w:tc>
          <w:tcPr>
            <w:tcW w:w="1044" w:type="dxa"/>
            <w:vMerge w:val="restart"/>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6.</w:t>
            </w:r>
          </w:p>
        </w:tc>
        <w:tc>
          <w:tcPr>
            <w:tcW w:w="3819" w:type="dxa"/>
            <w:shd w:val="clear" w:color="auto" w:fill="auto"/>
          </w:tcPr>
          <w:p w:rsidR="002F05ED" w:rsidRPr="005D72CF" w:rsidRDefault="002F05ED" w:rsidP="002F05ED">
            <w:pPr>
              <w:spacing w:before="120"/>
              <w:rPr>
                <w:rFonts w:ascii="Times New Roman" w:hAnsi="Times New Roman" w:cs="Times New Roman"/>
                <w:color w:val="auto"/>
              </w:rPr>
            </w:pPr>
            <w:r w:rsidRPr="005D72CF">
              <w:rPr>
                <w:rFonts w:ascii="Times New Roman" w:hAnsi="Times New Roman" w:cs="Times New Roman"/>
                <w:color w:val="auto"/>
              </w:rPr>
              <w:t xml:space="preserve">Operacije koje doprinose povećanju učinkovitosti u korištenju energije u </w:t>
            </w:r>
            <w:r w:rsidRPr="005D72CF">
              <w:rPr>
                <w:rFonts w:ascii="Times New Roman" w:hAnsi="Times New Roman" w:cs="Times New Roman"/>
                <w:color w:val="auto"/>
              </w:rPr>
              <w:lastRenderedPageBreak/>
              <w:t>poljoprivredi i preradi te doprinose promjeni energetskog razreda za dva i više razreda</w:t>
            </w:r>
          </w:p>
        </w:tc>
        <w:tc>
          <w:tcPr>
            <w:tcW w:w="1496"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lastRenderedPageBreak/>
              <w:t>2</w:t>
            </w:r>
          </w:p>
        </w:tc>
        <w:tc>
          <w:tcPr>
            <w:tcW w:w="1367" w:type="dxa"/>
            <w:vMerge w:val="restart"/>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3</w:t>
            </w:r>
          </w:p>
        </w:tc>
        <w:tc>
          <w:tcPr>
            <w:tcW w:w="1110" w:type="dxa"/>
            <w:vMerge w:val="restart"/>
            <w:shd w:val="clear" w:color="auto" w:fill="auto"/>
          </w:tcPr>
          <w:p w:rsidR="002F05ED" w:rsidRPr="005D72CF" w:rsidRDefault="002F05ED" w:rsidP="002F05ED">
            <w:pPr>
              <w:spacing w:before="120"/>
              <w:jc w:val="both"/>
              <w:rPr>
                <w:rFonts w:ascii="Times New Roman" w:eastAsia="Calibri" w:hAnsi="Times New Roman" w:cs="Times New Roman"/>
                <w:color w:val="auto"/>
              </w:rPr>
            </w:pPr>
            <w:r w:rsidRPr="005D72CF">
              <w:rPr>
                <w:rFonts w:ascii="Times New Roman" w:eastAsia="Calibri" w:hAnsi="Times New Roman" w:cs="Times New Roman"/>
                <w:color w:val="auto"/>
              </w:rPr>
              <w:t>15 %</w:t>
            </w:r>
          </w:p>
        </w:tc>
      </w:tr>
      <w:tr w:rsidR="005D72CF" w:rsidRPr="005D72CF" w:rsidTr="002F05ED">
        <w:trPr>
          <w:trHeight w:val="367"/>
        </w:trPr>
        <w:tc>
          <w:tcPr>
            <w:tcW w:w="1044" w:type="dxa"/>
            <w:vMerge/>
            <w:shd w:val="clear" w:color="auto" w:fill="auto"/>
          </w:tcPr>
          <w:p w:rsidR="002F05ED" w:rsidRPr="005D72CF" w:rsidRDefault="002F05ED" w:rsidP="002F05ED">
            <w:pPr>
              <w:spacing w:before="120"/>
              <w:rPr>
                <w:rFonts w:ascii="Times New Roman" w:eastAsia="Calibri" w:hAnsi="Times New Roman" w:cs="Times New Roman"/>
                <w:color w:val="auto"/>
              </w:rPr>
            </w:pPr>
          </w:p>
        </w:tc>
        <w:tc>
          <w:tcPr>
            <w:tcW w:w="3819" w:type="dxa"/>
            <w:shd w:val="clear" w:color="auto" w:fill="auto"/>
          </w:tcPr>
          <w:p w:rsidR="002F05ED" w:rsidRPr="005D72CF" w:rsidRDefault="002F05ED" w:rsidP="002F05ED">
            <w:pPr>
              <w:spacing w:before="120"/>
              <w:rPr>
                <w:rFonts w:ascii="Times New Roman" w:hAnsi="Times New Roman" w:cs="Times New Roman"/>
                <w:color w:val="auto"/>
              </w:rPr>
            </w:pPr>
            <w:r w:rsidRPr="005D72CF">
              <w:rPr>
                <w:rFonts w:ascii="Times New Roman" w:hAnsi="Times New Roman" w:cs="Times New Roman"/>
                <w:color w:val="auto"/>
              </w:rPr>
              <w:t>Operacije koje doprinose promjeni energetskog razreda za jedan razred ili kod izgradnje novog objekta prerade minimalno razreda B</w:t>
            </w:r>
          </w:p>
        </w:tc>
        <w:tc>
          <w:tcPr>
            <w:tcW w:w="1496"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1</w:t>
            </w:r>
          </w:p>
        </w:tc>
        <w:tc>
          <w:tcPr>
            <w:tcW w:w="1367" w:type="dxa"/>
            <w:vMerge/>
            <w:shd w:val="clear" w:color="auto" w:fill="auto"/>
          </w:tcPr>
          <w:p w:rsidR="002F05ED" w:rsidRPr="005D72CF" w:rsidRDefault="002F05ED" w:rsidP="002F05ED">
            <w:pPr>
              <w:spacing w:before="120"/>
              <w:rPr>
                <w:rFonts w:ascii="Times New Roman" w:eastAsia="Calibri" w:hAnsi="Times New Roman" w:cs="Times New Roman"/>
                <w:color w:val="auto"/>
              </w:rPr>
            </w:pPr>
          </w:p>
        </w:tc>
        <w:tc>
          <w:tcPr>
            <w:tcW w:w="1110" w:type="dxa"/>
            <w:vMerge/>
            <w:shd w:val="clear" w:color="auto" w:fill="auto"/>
          </w:tcPr>
          <w:p w:rsidR="002F05ED" w:rsidRPr="005D72CF" w:rsidRDefault="002F05ED" w:rsidP="002F05ED">
            <w:pPr>
              <w:spacing w:before="120"/>
              <w:jc w:val="both"/>
              <w:rPr>
                <w:rFonts w:ascii="Times New Roman" w:eastAsia="Calibri" w:hAnsi="Times New Roman" w:cs="Times New Roman"/>
                <w:color w:val="auto"/>
              </w:rPr>
            </w:pPr>
          </w:p>
        </w:tc>
      </w:tr>
      <w:tr w:rsidR="005D72CF" w:rsidRPr="005D72CF" w:rsidTr="002F05ED">
        <w:trPr>
          <w:trHeight w:val="748"/>
        </w:trPr>
        <w:tc>
          <w:tcPr>
            <w:tcW w:w="1044" w:type="dxa"/>
            <w:vMerge/>
            <w:shd w:val="clear" w:color="auto" w:fill="auto"/>
          </w:tcPr>
          <w:p w:rsidR="002F05ED" w:rsidRPr="005D72CF" w:rsidRDefault="002F05ED" w:rsidP="002F05ED">
            <w:pPr>
              <w:spacing w:before="120"/>
              <w:rPr>
                <w:rFonts w:ascii="Times New Roman" w:eastAsia="Calibri" w:hAnsi="Times New Roman" w:cs="Times New Roman"/>
                <w:color w:val="auto"/>
              </w:rPr>
            </w:pPr>
          </w:p>
        </w:tc>
        <w:tc>
          <w:tcPr>
            <w:tcW w:w="3819" w:type="dxa"/>
            <w:shd w:val="clear" w:color="auto" w:fill="auto"/>
          </w:tcPr>
          <w:p w:rsidR="002F05ED" w:rsidRPr="005D72CF" w:rsidRDefault="002F05ED" w:rsidP="002F05ED">
            <w:pPr>
              <w:spacing w:before="120"/>
              <w:rPr>
                <w:rFonts w:ascii="Times New Roman" w:hAnsi="Times New Roman" w:cs="Times New Roman"/>
                <w:color w:val="auto"/>
              </w:rPr>
            </w:pPr>
            <w:r w:rsidRPr="005D72CF">
              <w:rPr>
                <w:rFonts w:ascii="Times New Roman" w:hAnsi="Times New Roman" w:cs="Times New Roman"/>
                <w:color w:val="auto"/>
              </w:rPr>
              <w:t>Operacije koje uvode ekološki održive postupke kod upravljanja sirovinama i/ili recikliranju otpada iz vinarije</w:t>
            </w:r>
          </w:p>
        </w:tc>
        <w:tc>
          <w:tcPr>
            <w:tcW w:w="1496" w:type="dxa"/>
            <w:shd w:val="clear" w:color="auto" w:fill="auto"/>
          </w:tcPr>
          <w:p w:rsidR="002F05ED" w:rsidRPr="005D72CF" w:rsidRDefault="002F05ED" w:rsidP="002F05ED">
            <w:pPr>
              <w:spacing w:before="120"/>
              <w:rPr>
                <w:rFonts w:ascii="Times New Roman" w:eastAsia="Calibri" w:hAnsi="Times New Roman" w:cs="Times New Roman"/>
                <w:color w:val="auto"/>
              </w:rPr>
            </w:pPr>
            <w:r w:rsidRPr="005D72CF">
              <w:rPr>
                <w:rFonts w:ascii="Times New Roman" w:eastAsia="Calibri" w:hAnsi="Times New Roman" w:cs="Times New Roman"/>
                <w:color w:val="auto"/>
              </w:rPr>
              <w:t>1</w:t>
            </w:r>
          </w:p>
        </w:tc>
        <w:tc>
          <w:tcPr>
            <w:tcW w:w="1367" w:type="dxa"/>
            <w:vMerge/>
            <w:shd w:val="clear" w:color="auto" w:fill="auto"/>
          </w:tcPr>
          <w:p w:rsidR="002F05ED" w:rsidRPr="005D72CF" w:rsidRDefault="002F05ED" w:rsidP="002F05ED">
            <w:pPr>
              <w:spacing w:before="120"/>
              <w:rPr>
                <w:rFonts w:ascii="Times New Roman" w:eastAsia="Calibri" w:hAnsi="Times New Roman" w:cs="Times New Roman"/>
                <w:color w:val="auto"/>
              </w:rPr>
            </w:pPr>
          </w:p>
        </w:tc>
        <w:tc>
          <w:tcPr>
            <w:tcW w:w="1110" w:type="dxa"/>
            <w:vMerge/>
            <w:shd w:val="clear" w:color="auto" w:fill="auto"/>
          </w:tcPr>
          <w:p w:rsidR="002F05ED" w:rsidRPr="005D72CF" w:rsidRDefault="002F05ED" w:rsidP="002F05ED">
            <w:pPr>
              <w:spacing w:before="120"/>
              <w:jc w:val="both"/>
              <w:rPr>
                <w:rFonts w:ascii="Times New Roman" w:eastAsia="Calibri" w:hAnsi="Times New Roman" w:cs="Times New Roman"/>
                <w:color w:val="auto"/>
              </w:rPr>
            </w:pPr>
          </w:p>
        </w:tc>
      </w:tr>
      <w:tr w:rsidR="005D72CF" w:rsidRPr="005D72CF" w:rsidTr="002F05ED">
        <w:trPr>
          <w:trHeight w:val="458"/>
        </w:trPr>
        <w:tc>
          <w:tcPr>
            <w:tcW w:w="1044"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Ukupno</w:t>
            </w:r>
          </w:p>
        </w:tc>
        <w:tc>
          <w:tcPr>
            <w:tcW w:w="5315" w:type="dxa"/>
            <w:gridSpan w:val="2"/>
            <w:shd w:val="clear" w:color="auto" w:fill="auto"/>
          </w:tcPr>
          <w:p w:rsidR="002F05ED" w:rsidRPr="005D72CF" w:rsidRDefault="002F05ED" w:rsidP="002F05ED">
            <w:pPr>
              <w:spacing w:before="120"/>
              <w:jc w:val="both"/>
              <w:rPr>
                <w:rFonts w:ascii="Times New Roman" w:eastAsia="Calibri" w:hAnsi="Times New Roman" w:cs="Times New Roman"/>
                <w:b/>
                <w:color w:val="auto"/>
              </w:rPr>
            </w:pPr>
          </w:p>
        </w:tc>
        <w:tc>
          <w:tcPr>
            <w:tcW w:w="1367"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20</w:t>
            </w:r>
          </w:p>
        </w:tc>
        <w:tc>
          <w:tcPr>
            <w:tcW w:w="1110" w:type="dxa"/>
            <w:shd w:val="clear" w:color="auto" w:fill="auto"/>
          </w:tcPr>
          <w:p w:rsidR="002F05ED" w:rsidRPr="005D72CF" w:rsidRDefault="002F05ED" w:rsidP="002F05ED">
            <w:pPr>
              <w:spacing w:before="120"/>
              <w:jc w:val="both"/>
              <w:rPr>
                <w:rFonts w:ascii="Times New Roman" w:eastAsia="Calibri" w:hAnsi="Times New Roman" w:cs="Times New Roman"/>
                <w:b/>
                <w:color w:val="auto"/>
              </w:rPr>
            </w:pPr>
            <w:r w:rsidRPr="005D72CF">
              <w:rPr>
                <w:rFonts w:ascii="Times New Roman" w:eastAsia="Calibri" w:hAnsi="Times New Roman" w:cs="Times New Roman"/>
                <w:b/>
                <w:color w:val="auto"/>
              </w:rPr>
              <w:t>100 %</w:t>
            </w:r>
          </w:p>
        </w:tc>
      </w:tr>
      <w:tr w:rsidR="005D72CF" w:rsidRPr="005D72CF" w:rsidTr="002F05ED">
        <w:trPr>
          <w:trHeight w:val="458"/>
        </w:trPr>
        <w:tc>
          <w:tcPr>
            <w:tcW w:w="8836" w:type="dxa"/>
            <w:gridSpan w:val="5"/>
            <w:shd w:val="clear" w:color="auto" w:fill="auto"/>
          </w:tcPr>
          <w:p w:rsidR="002F05ED" w:rsidRPr="005D72CF" w:rsidRDefault="002F05ED" w:rsidP="002F05ED">
            <w:pPr>
              <w:spacing w:before="120"/>
              <w:jc w:val="both"/>
              <w:rPr>
                <w:rFonts w:ascii="Times New Roman" w:hAnsi="Times New Roman" w:cs="Times New Roman"/>
                <w:color w:val="auto"/>
              </w:rPr>
            </w:pPr>
            <w:r w:rsidRPr="005D72CF">
              <w:rPr>
                <w:rFonts w:ascii="Times New Roman" w:hAnsi="Times New Roman" w:cs="Times New Roman"/>
                <w:color w:val="auto"/>
              </w:rPr>
              <w:t xml:space="preserve">Kriteriji su poredani prema prioritetu, a uvjeti za bodovanje će se detaljno urediti u pravilniku. </w:t>
            </w:r>
          </w:p>
          <w:p w:rsidR="002F05ED" w:rsidRPr="005D72CF" w:rsidRDefault="002F05ED" w:rsidP="002F05ED">
            <w:pPr>
              <w:rPr>
                <w:rFonts w:ascii="Times New Roman" w:hAnsi="Times New Roman" w:cs="Times New Roman"/>
                <w:color w:val="auto"/>
                <w:sz w:val="22"/>
                <w:szCs w:val="22"/>
              </w:rPr>
            </w:pPr>
            <w:r w:rsidRPr="005D72CF">
              <w:rPr>
                <w:rFonts w:ascii="Times New Roman" w:hAnsi="Times New Roman" w:cs="Times New Roman"/>
                <w:color w:val="auto"/>
              </w:rPr>
              <w:t>Agencija za plaćanja rangira Prijave prema ostvarenom broju bodova od najvećeg broja prioritetnih bodova padajućim redoslijedom do iskorištenja raspoloživih proračunskih sredstava. U slučaju prijava s jednakim brojem bodova prednost ima prijava koja ostvaruje više bodova u prioritetnom kriteriju.</w:t>
            </w:r>
          </w:p>
        </w:tc>
      </w:tr>
      <w:bookmarkEnd w:id="18"/>
    </w:tbl>
    <w:p w:rsidR="002F05ED" w:rsidRPr="005D72CF" w:rsidRDefault="002F05ED" w:rsidP="002F05ED">
      <w:pPr>
        <w:spacing w:before="120"/>
        <w:jc w:val="both"/>
        <w:rPr>
          <w:rFonts w:ascii="Times New Roman" w:hAnsi="Times New Roman" w:cs="Times New Roman"/>
          <w:color w:val="auto"/>
          <w:u w:val="single"/>
        </w:rPr>
      </w:pPr>
    </w:p>
    <w:p w:rsidR="002F05ED" w:rsidRPr="005D72CF" w:rsidRDefault="002F05ED" w:rsidP="002F05ED">
      <w:pPr>
        <w:keepNext/>
        <w:keepLines/>
        <w:spacing w:before="240"/>
        <w:jc w:val="both"/>
        <w:outlineLvl w:val="0"/>
        <w:rPr>
          <w:rFonts w:ascii="Times New Roman" w:hAnsi="Times New Roman" w:cs="Times New Roman"/>
          <w:b/>
          <w:color w:val="auto"/>
          <w:szCs w:val="32"/>
        </w:rPr>
      </w:pPr>
      <w:r w:rsidRPr="005D72CF">
        <w:rPr>
          <w:rFonts w:ascii="Times New Roman" w:hAnsi="Times New Roman" w:cs="Times New Roman"/>
          <w:b/>
          <w:color w:val="auto"/>
          <w:szCs w:val="32"/>
        </w:rPr>
        <w:t xml:space="preserve">U dijelu A točki 6. </w:t>
      </w:r>
      <w:proofErr w:type="spellStart"/>
      <w:r w:rsidRPr="005D72CF">
        <w:rPr>
          <w:rFonts w:ascii="Times New Roman" w:hAnsi="Times New Roman" w:cs="Times New Roman"/>
          <w:b/>
          <w:color w:val="auto"/>
          <w:szCs w:val="32"/>
        </w:rPr>
        <w:t>podpoglavlju</w:t>
      </w:r>
      <w:proofErr w:type="spellEnd"/>
      <w:r w:rsidRPr="005D72CF">
        <w:rPr>
          <w:rFonts w:ascii="Times New Roman" w:hAnsi="Times New Roman" w:cs="Times New Roman"/>
          <w:b/>
          <w:color w:val="auto"/>
          <w:szCs w:val="32"/>
        </w:rPr>
        <w:t xml:space="preserve"> s naslovom Postupak odabira odlomak iza naslova zamjenjuje se novim odlomkom koji glasi:</w:t>
      </w:r>
    </w:p>
    <w:p w:rsidR="002F05ED" w:rsidRPr="005D72CF" w:rsidRDefault="002F05ED" w:rsidP="002F05ED">
      <w:pPr>
        <w:spacing w:before="120" w:after="120"/>
        <w:jc w:val="both"/>
        <w:rPr>
          <w:rFonts w:ascii="Times New Roman" w:hAnsi="Times New Roman" w:cs="Times New Roman"/>
          <w:color w:val="auto"/>
        </w:rPr>
      </w:pPr>
      <w:r w:rsidRPr="005D72CF">
        <w:rPr>
          <w:rFonts w:ascii="Times New Roman" w:hAnsi="Times New Roman" w:cs="Times New Roman"/>
          <w:color w:val="auto"/>
          <w:sz w:val="23"/>
          <w:szCs w:val="23"/>
        </w:rPr>
        <w:t>»</w:t>
      </w:r>
      <w:r w:rsidRPr="005D72CF">
        <w:rPr>
          <w:rFonts w:ascii="Times New Roman" w:hAnsi="Times New Roman" w:cs="Times New Roman"/>
          <w:color w:val="auto"/>
        </w:rPr>
        <w:t>Prijave pristigle po objavljenom natječaju obrađuju se po redoslijedu zaprimanja.</w:t>
      </w:r>
    </w:p>
    <w:p w:rsidR="002F05ED" w:rsidRPr="005D72CF" w:rsidRDefault="002F05ED" w:rsidP="002F05ED">
      <w:pPr>
        <w:spacing w:before="120" w:after="120"/>
        <w:jc w:val="both"/>
        <w:rPr>
          <w:rFonts w:ascii="Times New Roman" w:hAnsi="Times New Roman" w:cs="Times New Roman"/>
          <w:color w:val="auto"/>
        </w:rPr>
      </w:pPr>
      <w:r w:rsidRPr="005D72CF">
        <w:rPr>
          <w:rFonts w:ascii="Times New Roman" w:hAnsi="Times New Roman" w:cs="Times New Roman"/>
          <w:color w:val="auto"/>
        </w:rPr>
        <w:t>Prilikom administrativne kontrole prijava utvrđuje se pravovremenost, potpunost, prihvatljivost prijave prema kriterijima prihvatljivosti iz točke iv. ove mjere te prihvatljivost troškova.</w:t>
      </w:r>
    </w:p>
    <w:p w:rsidR="002F05ED" w:rsidRPr="005D72CF" w:rsidRDefault="002F05ED" w:rsidP="002F05ED">
      <w:pPr>
        <w:spacing w:before="120" w:after="120"/>
        <w:jc w:val="both"/>
        <w:rPr>
          <w:rFonts w:ascii="Times New Roman" w:hAnsi="Times New Roman" w:cs="Times New Roman"/>
          <w:color w:val="auto"/>
        </w:rPr>
      </w:pPr>
      <w:r w:rsidRPr="005D72CF">
        <w:rPr>
          <w:rFonts w:ascii="Times New Roman" w:hAnsi="Times New Roman" w:cs="Times New Roman"/>
          <w:color w:val="auto"/>
        </w:rPr>
        <w:t>Nepravovremene prijave se ne razmatraju.</w:t>
      </w:r>
    </w:p>
    <w:p w:rsidR="002F05ED" w:rsidRPr="005D72CF" w:rsidRDefault="002F05ED" w:rsidP="002F05ED">
      <w:pPr>
        <w:spacing w:before="120" w:after="120"/>
        <w:jc w:val="both"/>
        <w:rPr>
          <w:rFonts w:ascii="Times New Roman" w:hAnsi="Times New Roman" w:cs="Times New Roman"/>
          <w:color w:val="auto"/>
        </w:rPr>
      </w:pPr>
      <w:r w:rsidRPr="005D72CF">
        <w:rPr>
          <w:rFonts w:ascii="Times New Roman" w:hAnsi="Times New Roman" w:cs="Times New Roman"/>
          <w:color w:val="auto"/>
        </w:rPr>
        <w:t xml:space="preserve">Potpune prijave ulaze u daljnju administrativnu kontrolu prema redoslijedu zaprimanja Agencije za plaćanja. </w:t>
      </w:r>
    </w:p>
    <w:p w:rsidR="002F05ED" w:rsidRPr="005D72CF" w:rsidRDefault="002F05ED" w:rsidP="002F05ED">
      <w:pPr>
        <w:spacing w:before="120" w:after="120"/>
        <w:jc w:val="both"/>
        <w:rPr>
          <w:rFonts w:ascii="Times New Roman" w:hAnsi="Times New Roman" w:cs="Times New Roman"/>
          <w:color w:val="auto"/>
        </w:rPr>
      </w:pPr>
      <w:r w:rsidRPr="005D72CF">
        <w:rPr>
          <w:rFonts w:ascii="Times New Roman" w:hAnsi="Times New Roman" w:cs="Times New Roman"/>
          <w:color w:val="auto"/>
        </w:rPr>
        <w:t>Nakon administrativne kontrole prihvatljivih prijava, u slučaju kada se utvrdi da unutar programa ili unutar dostupnog proračuna za ovu mjeru nema dovoljno sredstava za sufinanciranje svih projekata, rang-lista će biti sastavljena nakon ocjene prioritetnih kriterije navedene u točki vi. ove mjere.</w:t>
      </w:r>
    </w:p>
    <w:p w:rsidR="002F05ED" w:rsidRPr="005D72CF" w:rsidRDefault="002F05ED" w:rsidP="002F05ED">
      <w:pPr>
        <w:spacing w:before="120" w:after="120"/>
        <w:jc w:val="both"/>
        <w:rPr>
          <w:rFonts w:ascii="Times New Roman" w:hAnsi="Times New Roman" w:cs="Times New Roman"/>
          <w:color w:val="auto"/>
        </w:rPr>
      </w:pPr>
      <w:r w:rsidRPr="005D72CF">
        <w:rPr>
          <w:rFonts w:ascii="Times New Roman" w:hAnsi="Times New Roman" w:cs="Times New Roman"/>
          <w:color w:val="auto"/>
        </w:rPr>
        <w:t>Na temelju rezultata dobivenih primjenom prioritetnih kriterija Agencija za plaćanja rangira Prijave prema ostvarenom broju bodova od najvećeg broja prioritetnih bodova.</w:t>
      </w:r>
    </w:p>
    <w:p w:rsidR="002F05ED" w:rsidRPr="005D72CF" w:rsidRDefault="002F05ED" w:rsidP="002F05ED">
      <w:pPr>
        <w:spacing w:before="120" w:after="120"/>
        <w:jc w:val="both"/>
        <w:rPr>
          <w:rFonts w:ascii="Times New Roman" w:hAnsi="Times New Roman" w:cs="Times New Roman"/>
          <w:color w:val="auto"/>
        </w:rPr>
      </w:pPr>
      <w:r w:rsidRPr="005D72CF">
        <w:rPr>
          <w:rFonts w:ascii="Times New Roman" w:hAnsi="Times New Roman" w:cs="Times New Roman"/>
          <w:color w:val="auto"/>
        </w:rPr>
        <w:t>Agencija za plaćanja nakon obrade prijava, a ovisno o rezultatima administrativne kontrole podnositelju izdaje Odluku o odbijanju prijave ili Odluku o odobrenju projekta.«</w:t>
      </w:r>
    </w:p>
    <w:p w:rsidR="002F05ED" w:rsidRPr="005D72CF" w:rsidRDefault="002F05ED" w:rsidP="002F05ED">
      <w:pPr>
        <w:rPr>
          <w:rFonts w:ascii="Times New Roman" w:hAnsi="Times New Roman" w:cs="Times New Roman"/>
          <w:b/>
          <w:color w:val="auto"/>
        </w:rPr>
      </w:pPr>
    </w:p>
    <w:p w:rsidR="002F05ED" w:rsidRPr="005D72CF" w:rsidRDefault="002F05ED" w:rsidP="002F05ED">
      <w:pPr>
        <w:rPr>
          <w:rFonts w:ascii="Times New Roman" w:hAnsi="Times New Roman" w:cs="Times New Roman"/>
          <w:b/>
          <w:color w:val="auto"/>
        </w:rPr>
        <w:sectPr w:rsidR="002F05ED" w:rsidRPr="005D72CF" w:rsidSect="002F05ED">
          <w:pgSz w:w="11906" w:h="16838" w:code="9"/>
          <w:pgMar w:top="1418" w:right="1418" w:bottom="1418" w:left="1418" w:header="709" w:footer="709" w:gutter="0"/>
          <w:paperSrc w:first="7"/>
          <w:cols w:space="708"/>
          <w:docGrid w:linePitch="360"/>
        </w:sectPr>
      </w:pPr>
    </w:p>
    <w:p w:rsidR="00796220" w:rsidRPr="005D72CF" w:rsidRDefault="00796220" w:rsidP="002F05ED">
      <w:pPr>
        <w:rPr>
          <w:rFonts w:ascii="Times New Roman" w:hAnsi="Times New Roman" w:cs="Times New Roman"/>
          <w:b/>
          <w:color w:val="auto"/>
        </w:rPr>
      </w:pPr>
      <w:bookmarkStart w:id="19" w:name="_Hlk105507603"/>
    </w:p>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PRILOG II.</w:t>
      </w:r>
    </w:p>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Dodjela financijskih sredstava nacionalnog programa potpore</w:t>
      </w:r>
    </w:p>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 u tisućama eura)</w:t>
      </w:r>
    </w:p>
    <w:p w:rsidR="002F05ED" w:rsidRPr="005D72CF" w:rsidRDefault="002F05ED" w:rsidP="002F05ED">
      <w:pPr>
        <w:rPr>
          <w:rFonts w:ascii="Times New Roman" w:hAnsi="Times New Roman" w:cs="Times New Roman"/>
          <w:color w:val="aut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99"/>
        <w:gridCol w:w="2598"/>
        <w:gridCol w:w="816"/>
        <w:gridCol w:w="338"/>
        <w:gridCol w:w="478"/>
        <w:gridCol w:w="816"/>
        <w:gridCol w:w="816"/>
        <w:gridCol w:w="816"/>
        <w:gridCol w:w="2857"/>
      </w:tblGrid>
      <w:tr w:rsidR="005D72CF" w:rsidRPr="005D72CF" w:rsidTr="002F05ED">
        <w:tc>
          <w:tcPr>
            <w:tcW w:w="13813" w:type="dxa"/>
            <w:gridSpan w:val="10"/>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Država članica (*): Hrvatska</w:t>
            </w:r>
          </w:p>
        </w:tc>
      </w:tr>
      <w:tr w:rsidR="005D72CF" w:rsidRPr="005D72CF" w:rsidTr="002F05ED">
        <w:tc>
          <w:tcPr>
            <w:tcW w:w="8029" w:type="dxa"/>
            <w:gridSpan w:val="5"/>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 xml:space="preserve">Datum obavijesti (**): </w:t>
            </w:r>
          </w:p>
        </w:tc>
        <w:tc>
          <w:tcPr>
            <w:tcW w:w="5784" w:type="dxa"/>
            <w:gridSpan w:val="5"/>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Datum prethodne obavijesti: 13. 10. 2021.</w:t>
            </w:r>
          </w:p>
        </w:tc>
      </w:tr>
      <w:tr w:rsidR="005D72CF" w:rsidRPr="005D72CF" w:rsidTr="002F05ED">
        <w:tc>
          <w:tcPr>
            <w:tcW w:w="13813" w:type="dxa"/>
            <w:gridSpan w:val="10"/>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 xml:space="preserve">Broj ove izmijenjene tablice: </w:t>
            </w:r>
          </w:p>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Razlog: izmjenu traži država članica (***)</w:t>
            </w:r>
          </w:p>
        </w:tc>
      </w:tr>
      <w:tr w:rsidR="005D72CF" w:rsidRPr="005D72CF" w:rsidTr="002F05ED">
        <w:tc>
          <w:tcPr>
            <w:tcW w:w="13813" w:type="dxa"/>
            <w:gridSpan w:val="10"/>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r>
      <w:tr w:rsidR="005D72CF" w:rsidRPr="005D72CF" w:rsidTr="002F05ED">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Mjere</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Uredba (EU) br. 1308/2013</w:t>
            </w: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2019</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2020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2021</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2022</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2023</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Ukupno</w:t>
            </w:r>
          </w:p>
        </w:tc>
      </w:tr>
      <w:tr w:rsidR="005D72CF" w:rsidRPr="005D72CF" w:rsidTr="002F05ED">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(3)</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(4)</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(5)</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(6)</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(7)</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(8)</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(9)</w:t>
            </w:r>
          </w:p>
        </w:tc>
      </w:tr>
      <w:tr w:rsidR="005D72CF" w:rsidRPr="005D72CF" w:rsidTr="002F05ED">
        <w:trPr>
          <w:trHeight w:val="27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1.a. Informiranje u državama članicama</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Članak 45.(1)(a)</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Prethodna obavijest</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260</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30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260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260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260</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1070</w:t>
            </w:r>
          </w:p>
        </w:tc>
      </w:tr>
      <w:tr w:rsidR="005D72CF" w:rsidRPr="005D72CF" w:rsidTr="002F05ED">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Izmijenjeni iznos</w:t>
            </w:r>
          </w:p>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260</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18</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260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260</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798</w:t>
            </w:r>
          </w:p>
        </w:tc>
      </w:tr>
      <w:tr w:rsidR="005D72CF" w:rsidRPr="005D72CF" w:rsidTr="002F05ED">
        <w:trPr>
          <w:trHeight w:val="27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1.b. Promidžba na tržištima trećih zemalja</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Članak 45.(1)(b)</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Prethodna obavijest</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607</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250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607</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607</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607</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2678</w:t>
            </w:r>
          </w:p>
        </w:tc>
      </w:tr>
      <w:tr w:rsidR="005D72CF" w:rsidRPr="005D72CF" w:rsidTr="002F05ED">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Izmijenjeni iznos</w:t>
            </w:r>
          </w:p>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607</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145</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19</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607</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607</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1985</w:t>
            </w:r>
          </w:p>
        </w:tc>
      </w:tr>
      <w:tr w:rsidR="005D72CF" w:rsidRPr="005D72CF" w:rsidTr="002F05ED">
        <w:trPr>
          <w:trHeight w:val="69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2.a. Restrukturiranje i konverzija vinograda</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Članak 46.(3) (a),(b),(d)</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Prethodna obavijest</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1530</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1002</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1530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1530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1530</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7122</w:t>
            </w:r>
          </w:p>
        </w:tc>
      </w:tr>
      <w:tr w:rsidR="005D72CF" w:rsidRPr="005D72CF" w:rsidTr="002F05ED">
        <w:trPr>
          <w:trHeight w:val="6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Izmijenjeni iznos</w:t>
            </w:r>
          </w:p>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2530</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783</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3451</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1530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1530</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9824</w:t>
            </w:r>
          </w:p>
        </w:tc>
      </w:tr>
      <w:tr w:rsidR="005D72CF" w:rsidRPr="005D72CF" w:rsidTr="002F05ED">
        <w:trPr>
          <w:trHeight w:val="825"/>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 xml:space="preserve">2.b. Ponovna sadnja vinograda zbog zdravstvenih ili </w:t>
            </w:r>
            <w:proofErr w:type="spellStart"/>
            <w:r w:rsidRPr="005D72CF">
              <w:rPr>
                <w:rFonts w:ascii="Times New Roman" w:hAnsi="Times New Roman" w:cs="Times New Roman"/>
                <w:color w:val="auto"/>
              </w:rPr>
              <w:t>fitosanitarnih</w:t>
            </w:r>
            <w:proofErr w:type="spellEnd"/>
            <w:r w:rsidRPr="005D72CF">
              <w:rPr>
                <w:rFonts w:ascii="Times New Roman" w:hAnsi="Times New Roman" w:cs="Times New Roman"/>
                <w:color w:val="auto"/>
              </w:rPr>
              <w:t xml:space="preserve"> razloga</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Članak 46.(3)(c)</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Prethodna obavijest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r>
      <w:tr w:rsidR="005D72CF" w:rsidRPr="005D72CF" w:rsidTr="002F05ED">
        <w:trPr>
          <w:trHeight w:val="52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Izmijenjeni iznos</w:t>
            </w:r>
          </w:p>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r>
      <w:tr w:rsidR="005D72CF" w:rsidRPr="005D72CF" w:rsidTr="002F05ED">
        <w:trPr>
          <w:trHeight w:val="278"/>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3. Zelena berba</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Članak 47.</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Prethodna obavijest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r>
      <w:tr w:rsidR="005D72CF" w:rsidRPr="005D72CF" w:rsidTr="002F05ED">
        <w:trPr>
          <w:trHeight w:val="27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Izmijenjeni iznos</w:t>
            </w:r>
          </w:p>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r>
      <w:tr w:rsidR="005D72CF" w:rsidRPr="005D72CF" w:rsidTr="002F05ED">
        <w:trPr>
          <w:trHeight w:val="278"/>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4. Uzajamni fondovi</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Članak 48.</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 xml:space="preserve">Prethodna obavijest </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r>
      <w:tr w:rsidR="005D72CF" w:rsidRPr="005D72CF" w:rsidTr="002F05ED">
        <w:trPr>
          <w:trHeight w:val="27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Izmijenjeni iznos</w:t>
            </w:r>
          </w:p>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r>
      <w:tr w:rsidR="005D72CF" w:rsidRPr="005D72CF" w:rsidTr="002F05ED">
        <w:trPr>
          <w:trHeight w:val="278"/>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5. Osiguranje berbe</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Članak 49.</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Prethodna obavijest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r>
      <w:tr w:rsidR="005D72CF" w:rsidRPr="005D72CF" w:rsidTr="002F05ED">
        <w:trPr>
          <w:trHeight w:val="27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Izmijenjeni iznos</w:t>
            </w:r>
          </w:p>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r>
      <w:bookmarkEnd w:id="19"/>
      <w:tr w:rsidR="005D72CF" w:rsidRPr="005D72CF" w:rsidTr="002F05ED">
        <w:trPr>
          <w:trHeight w:val="278"/>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6. Ulaganja</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Članak 50.</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Prethodna obavijest</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8435</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5150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8435</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8435</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8435</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38890</w:t>
            </w:r>
          </w:p>
        </w:tc>
      </w:tr>
      <w:tr w:rsidR="005D72CF" w:rsidRPr="005D72CF" w:rsidTr="002F05ED">
        <w:trPr>
          <w:trHeight w:val="27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Izmijenjeni iznos</w:t>
            </w:r>
          </w:p>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7435</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3750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4650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8013</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8013</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31861</w:t>
            </w:r>
          </w:p>
        </w:tc>
      </w:tr>
      <w:tr w:rsidR="005D72CF" w:rsidRPr="005D72CF" w:rsidTr="002F05ED">
        <w:trPr>
          <w:trHeight w:val="413"/>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7. Inovacije</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Članak 51.</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 xml:space="preserve">Prethodna obavijest </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r>
      <w:tr w:rsidR="005D72CF" w:rsidRPr="005D72CF" w:rsidTr="002F05ED">
        <w:trPr>
          <w:trHeight w:val="41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Izmijenjeni iznos</w:t>
            </w:r>
          </w:p>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r>
      <w:tr w:rsidR="005D72CF" w:rsidRPr="005D72CF" w:rsidTr="002F05ED">
        <w:trPr>
          <w:trHeight w:val="278"/>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8. Destilacija nusproizvoda</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Članak52.</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Prethodna obavijest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r>
      <w:tr w:rsidR="005D72CF" w:rsidRPr="005D72CF" w:rsidTr="002F05ED">
        <w:trPr>
          <w:trHeight w:val="27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Izmijenjeni iznos</w:t>
            </w:r>
          </w:p>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r>
      <w:tr w:rsidR="005D72CF" w:rsidRPr="005D72CF" w:rsidTr="002F05ED">
        <w:trPr>
          <w:trHeight w:val="413"/>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9. Destilacija vina u kriznim slučajevima</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Prethodna obavijest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3891</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1320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5211</w:t>
            </w:r>
          </w:p>
        </w:tc>
      </w:tr>
      <w:tr w:rsidR="005D72CF" w:rsidRPr="005D72CF" w:rsidTr="002F05ED">
        <w:trPr>
          <w:trHeight w:val="41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Izmijenjeni iznos</w:t>
            </w:r>
          </w:p>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4969</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1512</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6481</w:t>
            </w:r>
          </w:p>
        </w:tc>
      </w:tr>
      <w:tr w:rsidR="005D72CF" w:rsidRPr="005D72CF" w:rsidTr="002F05ED">
        <w:trPr>
          <w:trHeight w:val="413"/>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10. Potpora za krizno skladištenje vina</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Prethodna obavijest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508</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1320</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1828</w:t>
            </w:r>
          </w:p>
        </w:tc>
      </w:tr>
      <w:tr w:rsidR="005D72CF" w:rsidRPr="005D72CF" w:rsidTr="002F05ED">
        <w:trPr>
          <w:trHeight w:val="41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Izmijenjeni iznos</w:t>
            </w:r>
          </w:p>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1167</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778</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2F05ED" w:rsidRPr="005D72CF" w:rsidRDefault="002F05ED" w:rsidP="002F05ED">
            <w:pPr>
              <w:rPr>
                <w:rFonts w:ascii="Times New Roman" w:hAnsi="Times New Roman" w:cs="Times New Roman"/>
                <w:color w:val="auto"/>
              </w:rPr>
            </w:pP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color w:val="auto"/>
              </w:rPr>
            </w:pPr>
            <w:r w:rsidRPr="005D72CF">
              <w:rPr>
                <w:rFonts w:ascii="Times New Roman" w:hAnsi="Times New Roman" w:cs="Times New Roman"/>
                <w:color w:val="auto"/>
              </w:rPr>
              <w:t>1945</w:t>
            </w:r>
          </w:p>
        </w:tc>
      </w:tr>
      <w:tr w:rsidR="005D72CF" w:rsidRPr="005D72CF" w:rsidTr="002F05ED">
        <w:trPr>
          <w:trHeight w:val="135"/>
        </w:trPr>
        <w:tc>
          <w:tcPr>
            <w:tcW w:w="4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Ukupno</w:t>
            </w: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Prethodna obavijest</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10832</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10832</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10832</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10832</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10832</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=54160</w:t>
            </w:r>
          </w:p>
        </w:tc>
      </w:tr>
      <w:tr w:rsidR="005D72CF" w:rsidRPr="005D72CF" w:rsidTr="002F05ED">
        <w:trPr>
          <w:trHeight w:val="13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F05ED" w:rsidRPr="005D72CF" w:rsidRDefault="002F05ED" w:rsidP="002F05ED">
            <w:pPr>
              <w:rPr>
                <w:rFonts w:ascii="Times New Roman" w:hAnsi="Times New Roman" w:cs="Times New Roman"/>
                <w:b/>
                <w:color w:val="auto"/>
              </w:rPr>
            </w:pPr>
          </w:p>
        </w:tc>
        <w:tc>
          <w:tcPr>
            <w:tcW w:w="2599"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Izmijenjeni iznos</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10832</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10832</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10410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10410</w:t>
            </w:r>
          </w:p>
        </w:tc>
        <w:tc>
          <w:tcPr>
            <w:tcW w:w="816"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10410</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rsidR="002F05ED" w:rsidRPr="005D72CF" w:rsidRDefault="002F05ED" w:rsidP="002F05ED">
            <w:pPr>
              <w:rPr>
                <w:rFonts w:ascii="Times New Roman" w:hAnsi="Times New Roman" w:cs="Times New Roman"/>
                <w:b/>
                <w:color w:val="auto"/>
              </w:rPr>
            </w:pPr>
            <w:r w:rsidRPr="005D72CF">
              <w:rPr>
                <w:rFonts w:ascii="Times New Roman" w:hAnsi="Times New Roman" w:cs="Times New Roman"/>
                <w:b/>
                <w:color w:val="auto"/>
              </w:rPr>
              <w:t>=52894</w:t>
            </w:r>
          </w:p>
        </w:tc>
      </w:tr>
    </w:tbl>
    <w:p w:rsidR="002F05ED" w:rsidRPr="005D72CF" w:rsidRDefault="002F05ED" w:rsidP="002F05ED">
      <w:pPr>
        <w:rPr>
          <w:rFonts w:ascii="Times New Roman" w:hAnsi="Times New Roman" w:cs="Times New Roman"/>
          <w:color w:val="auto"/>
          <w:u w:val="single"/>
        </w:rPr>
      </w:pPr>
    </w:p>
    <w:p w:rsidR="002F05ED" w:rsidRPr="005D72CF" w:rsidRDefault="002F05ED" w:rsidP="002F05ED">
      <w:pPr>
        <w:rPr>
          <w:rFonts w:ascii="Times New Roman" w:hAnsi="Times New Roman" w:cs="Times New Roman"/>
          <w:color w:val="auto"/>
          <w:u w:val="single"/>
        </w:rPr>
      </w:pPr>
    </w:p>
    <w:p w:rsidR="002F05ED" w:rsidRPr="005D72CF" w:rsidRDefault="002F05ED" w:rsidP="002F05ED">
      <w:pPr>
        <w:rPr>
          <w:rFonts w:ascii="Times New Roman" w:hAnsi="Times New Roman" w:cs="Times New Roman"/>
          <w:color w:val="auto"/>
          <w:u w:val="single"/>
        </w:rPr>
      </w:pPr>
    </w:p>
    <w:p w:rsidR="00796220" w:rsidRPr="005D72CF" w:rsidRDefault="002F05ED" w:rsidP="002F05ED">
      <w:pPr>
        <w:spacing w:after="160" w:line="259" w:lineRule="auto"/>
        <w:rPr>
          <w:rFonts w:ascii="Times New Roman" w:hAnsi="Times New Roman" w:cs="Times New Roman"/>
          <w:color w:val="auto"/>
          <w:u w:val="single"/>
        </w:rPr>
        <w:sectPr w:rsidR="00796220" w:rsidRPr="005D72CF" w:rsidSect="00796220">
          <w:pgSz w:w="16838" w:h="11906" w:orient="landscape" w:code="9"/>
          <w:pgMar w:top="1080" w:right="1440" w:bottom="1080" w:left="1440" w:header="709" w:footer="709" w:gutter="0"/>
          <w:paperSrc w:first="14"/>
          <w:cols w:space="708"/>
          <w:docGrid w:linePitch="360"/>
        </w:sectPr>
      </w:pPr>
      <w:r w:rsidRPr="005D72CF">
        <w:rPr>
          <w:rFonts w:ascii="Times New Roman" w:hAnsi="Times New Roman" w:cs="Times New Roman"/>
          <w:color w:val="auto"/>
          <w:u w:val="single"/>
        </w:rPr>
        <w:br w:type="page"/>
      </w:r>
    </w:p>
    <w:p w:rsidR="00D4267F" w:rsidRPr="005D72CF" w:rsidRDefault="00D4267F" w:rsidP="00F11930">
      <w:pPr>
        <w:spacing w:after="160" w:line="259" w:lineRule="auto"/>
        <w:rPr>
          <w:rFonts w:ascii="Times New Roman" w:hAnsi="Times New Roman" w:cs="Times New Roman"/>
          <w:color w:val="auto"/>
        </w:rPr>
      </w:pPr>
    </w:p>
    <w:sectPr w:rsidR="00D4267F" w:rsidRPr="005D72CF" w:rsidSect="00F11930">
      <w:pgSz w:w="11906" w:h="16838" w:code="9"/>
      <w:pgMar w:top="1440" w:right="1080" w:bottom="1440" w:left="1080"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6257"/>
    <w:multiLevelType w:val="hybridMultilevel"/>
    <w:tmpl w:val="E640B514"/>
    <w:lvl w:ilvl="0" w:tplc="621A101C">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 w15:restartNumberingAfterBreak="0">
    <w:nsid w:val="07E21F25"/>
    <w:multiLevelType w:val="hybridMultilevel"/>
    <w:tmpl w:val="EC4CB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C6043F"/>
    <w:multiLevelType w:val="hybridMultilevel"/>
    <w:tmpl w:val="3FFE79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2F7359"/>
    <w:multiLevelType w:val="hybridMultilevel"/>
    <w:tmpl w:val="20C455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D43461"/>
    <w:multiLevelType w:val="hybridMultilevel"/>
    <w:tmpl w:val="5F2A3C10"/>
    <w:lvl w:ilvl="0" w:tplc="621A10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191456F"/>
    <w:multiLevelType w:val="hybridMultilevel"/>
    <w:tmpl w:val="EE7A4D90"/>
    <w:lvl w:ilvl="0" w:tplc="9112D696">
      <w:numFmt w:val="bullet"/>
      <w:lvlText w:val="-"/>
      <w:lvlJc w:val="left"/>
      <w:pPr>
        <w:ind w:left="900" w:hanging="360"/>
      </w:pPr>
      <w:rPr>
        <w:rFonts w:ascii="Times New Roman" w:eastAsia="Times New Roman" w:hAnsi="Times New Roman" w:cs="Times New Roman"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6" w15:restartNumberingAfterBreak="0">
    <w:nsid w:val="67CB2B08"/>
    <w:multiLevelType w:val="hybridMultilevel"/>
    <w:tmpl w:val="5E7E75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4BB76E5"/>
    <w:multiLevelType w:val="hybridMultilevel"/>
    <w:tmpl w:val="035AEC70"/>
    <w:lvl w:ilvl="0" w:tplc="621A10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427"/>
    <w:rsid w:val="00061C22"/>
    <w:rsid w:val="00096A40"/>
    <w:rsid w:val="000F45B1"/>
    <w:rsid w:val="00142550"/>
    <w:rsid w:val="00220144"/>
    <w:rsid w:val="0028254C"/>
    <w:rsid w:val="002F05ED"/>
    <w:rsid w:val="00306FBC"/>
    <w:rsid w:val="003A34AB"/>
    <w:rsid w:val="003C1944"/>
    <w:rsid w:val="00564427"/>
    <w:rsid w:val="005D72CF"/>
    <w:rsid w:val="005E6F9C"/>
    <w:rsid w:val="00714C62"/>
    <w:rsid w:val="00764862"/>
    <w:rsid w:val="00796220"/>
    <w:rsid w:val="009B3F91"/>
    <w:rsid w:val="00AA1420"/>
    <w:rsid w:val="00B7312F"/>
    <w:rsid w:val="00B950C8"/>
    <w:rsid w:val="00D4267F"/>
    <w:rsid w:val="00D5088D"/>
    <w:rsid w:val="00D90F1F"/>
    <w:rsid w:val="00DA5382"/>
    <w:rsid w:val="00E43F63"/>
    <w:rsid w:val="00F119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3D8339-E71C-4E24-804E-AC23EDD8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6A40"/>
    <w:rPr>
      <w:rFonts w:ascii="Arial" w:hAnsi="Arial" w:cs="Arial"/>
      <w:color w:val="00000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sid w:val="002B64B8"/>
    <w:rPr>
      <w:color w:val="808080"/>
    </w:rPr>
  </w:style>
  <w:style w:type="paragraph" w:styleId="Tekstbalonia">
    <w:name w:val="Balloon Text"/>
    <w:basedOn w:val="Normal"/>
    <w:link w:val="TekstbaloniaChar"/>
    <w:rsid w:val="00AE5017"/>
    <w:rPr>
      <w:rFonts w:ascii="Segoe UI" w:hAnsi="Segoe UI" w:cs="Segoe UI"/>
      <w:sz w:val="18"/>
      <w:szCs w:val="18"/>
    </w:rPr>
  </w:style>
  <w:style w:type="character" w:customStyle="1" w:styleId="TekstbaloniaChar">
    <w:name w:val="Tekst balončića Char"/>
    <w:link w:val="Tekstbalonia"/>
    <w:rsid w:val="00AE5017"/>
    <w:rPr>
      <w:rFonts w:ascii="Segoe UI" w:hAnsi="Segoe UI" w:cs="Segoe UI"/>
      <w:sz w:val="18"/>
      <w:szCs w:val="18"/>
    </w:rPr>
  </w:style>
  <w:style w:type="paragraph" w:styleId="Odlomakpopisa">
    <w:name w:val="List Paragraph"/>
    <w:basedOn w:val="Normal"/>
    <w:uiPriority w:val="34"/>
    <w:qFormat/>
    <w:rsid w:val="00096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AZJMDCZ6QSYZ-1849078857-17340</_dlc_DocId>
    <_dlc_DocIdUrl xmlns="a494813a-d0d8-4dad-94cb-0d196f36ba15">
      <Url>https://ekoordinacije.vlada.hr/koordinacija-gospodarstvo/_layouts/15/DocIdRedir.aspx?ID=AZJMDCZ6QSYZ-1849078857-17340</Url>
      <Description>AZJMDCZ6QSYZ-1849078857-17340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BE07B8-B3DF-49EB-B5EB-598A768BA4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29A0F0-ECE4-429D-97BC-96B068DFD690}">
  <ds:schemaRefs>
    <ds:schemaRef ds:uri="http://schemas.microsoft.com/sharepoint/v3/contenttype/forms"/>
  </ds:schemaRefs>
</ds:datastoreItem>
</file>

<file path=customXml/itemProps3.xml><?xml version="1.0" encoding="utf-8"?>
<ds:datastoreItem xmlns:ds="http://schemas.openxmlformats.org/officeDocument/2006/customXml" ds:itemID="{C08094E3-503B-4F5A-A534-BF0C0F8FADCC}"/>
</file>

<file path=customXml/itemProps4.xml><?xml version="1.0" encoding="utf-8"?>
<ds:datastoreItem xmlns:ds="http://schemas.openxmlformats.org/officeDocument/2006/customXml" ds:itemID="{6BAB0314-4771-4460-A64F-CEAE502EC59D}">
  <ds:schemaRefs>
    <ds:schemaRef ds:uri="http://schemas.openxmlformats.org/officeDocument/2006/bibliography"/>
  </ds:schemaRefs>
</ds:datastoreItem>
</file>

<file path=customXml/itemProps5.xml><?xml version="1.0" encoding="utf-8"?>
<ds:datastoreItem xmlns:ds="http://schemas.openxmlformats.org/officeDocument/2006/customXml" ds:itemID="{41B9E255-56A4-442A-A1B0-2DD3BB311FE0}"/>
</file>

<file path=docProps/app.xml><?xml version="1.0" encoding="utf-8"?>
<Properties xmlns="http://schemas.openxmlformats.org/officeDocument/2006/extended-properties" xmlns:vt="http://schemas.openxmlformats.org/officeDocument/2006/docPropsVTypes">
  <Template>Normal</Template>
  <TotalTime>1</TotalTime>
  <Pages>12</Pages>
  <Words>3043</Words>
  <Characters>17351</Characters>
  <Application>Microsoft Office Word</Application>
  <DocSecurity>0</DocSecurity>
  <Lines>144</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Emanuela Belšak</dc:creator>
  <cp:lastModifiedBy>Marija Franjičević</cp:lastModifiedBy>
  <cp:revision>2</cp:revision>
  <cp:lastPrinted>2014-01-14T17:40:00Z</cp:lastPrinted>
  <dcterms:created xsi:type="dcterms:W3CDTF">2022-06-15T09:30:00Z</dcterms:created>
  <dcterms:modified xsi:type="dcterms:W3CDTF">2022-06-15T09:30:00Z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7d491365-00f5-48ac-a087-88c3bdcd9bae</vt:lpwstr>
  </property>
</Properties>
</file>